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9D23" w14:textId="057779B8" w:rsidR="00C05347" w:rsidRDefault="00EF4C6F" w:rsidP="00EF4C6F">
      <w:pPr>
        <w:spacing w:before="100" w:line="360" w:lineRule="auto"/>
        <w:ind w:right="2477"/>
        <w:rPr>
          <w:b/>
          <w:sz w:val="24"/>
        </w:rPr>
      </w:pPr>
      <w:r>
        <w:rPr>
          <w:b/>
          <w:sz w:val="24"/>
        </w:rPr>
        <w:t xml:space="preserve"> </w:t>
      </w:r>
    </w:p>
    <w:p w14:paraId="51BDF550" w14:textId="3A4375F3" w:rsidR="008507C0" w:rsidRPr="008507C0" w:rsidRDefault="008507C0" w:rsidP="008507C0">
      <w:pPr>
        <w:spacing w:before="100" w:line="360" w:lineRule="auto"/>
        <w:ind w:left="2268" w:right="2477"/>
        <w:jc w:val="center"/>
        <w:rPr>
          <w:b/>
          <w:sz w:val="24"/>
        </w:rPr>
      </w:pPr>
      <w:r>
        <w:rPr>
          <w:b/>
          <w:noProof/>
          <w:sz w:val="24"/>
        </w:rPr>
        <w:drawing>
          <wp:inline distT="0" distB="0" distL="0" distR="0" wp14:anchorId="1A1C387D" wp14:editId="317BD4FD">
            <wp:extent cx="1256030" cy="1274445"/>
            <wp:effectExtent l="0" t="0" r="1270" b="1905"/>
            <wp:docPr id="10335630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6030" cy="1274445"/>
                    </a:xfrm>
                    <a:prstGeom prst="rect">
                      <a:avLst/>
                    </a:prstGeom>
                    <a:noFill/>
                  </pic:spPr>
                </pic:pic>
              </a:graphicData>
            </a:graphic>
          </wp:inline>
        </w:drawing>
      </w:r>
    </w:p>
    <w:p w14:paraId="1FCD9A6C" w14:textId="7F78E1DD" w:rsidR="008507C0" w:rsidRPr="008507C0" w:rsidRDefault="00E74754" w:rsidP="008507C0">
      <w:pPr>
        <w:spacing w:before="100" w:line="360" w:lineRule="auto"/>
        <w:ind w:left="993" w:right="146"/>
        <w:jc w:val="center"/>
        <w:rPr>
          <w:b/>
          <w:color w:val="00B0F0"/>
          <w:sz w:val="24"/>
        </w:rPr>
      </w:pPr>
      <w:r w:rsidRPr="008507C0">
        <w:rPr>
          <w:b/>
          <w:color w:val="00B0F0"/>
          <w:sz w:val="24"/>
        </w:rPr>
        <w:t>BLUE CRANE ROUTE MUNICIPALITY</w:t>
      </w:r>
    </w:p>
    <w:p w14:paraId="61B11655" w14:textId="526C4CDD" w:rsidR="00E74754" w:rsidRDefault="00E74754" w:rsidP="008507C0">
      <w:pPr>
        <w:spacing w:before="100" w:line="360" w:lineRule="auto"/>
        <w:ind w:left="993" w:right="146"/>
        <w:jc w:val="center"/>
        <w:rPr>
          <w:b/>
          <w:sz w:val="24"/>
        </w:rPr>
      </w:pPr>
      <w:r>
        <w:rPr>
          <w:b/>
          <w:sz w:val="24"/>
        </w:rPr>
        <w:t>TENDER NO.: T21/2025</w:t>
      </w:r>
    </w:p>
    <w:p w14:paraId="61B2B802" w14:textId="77777777" w:rsidR="00E74754" w:rsidRDefault="00E74754" w:rsidP="008507C0">
      <w:pPr>
        <w:spacing w:before="100" w:line="360" w:lineRule="auto"/>
        <w:ind w:left="567" w:right="4"/>
        <w:jc w:val="center"/>
        <w:rPr>
          <w:b/>
          <w:sz w:val="24"/>
        </w:rPr>
      </w:pPr>
      <w:r>
        <w:rPr>
          <w:noProof/>
        </w:rPr>
        <mc:AlternateContent>
          <mc:Choice Requires="wpg">
            <w:drawing>
              <wp:anchor distT="0" distB="0" distL="0" distR="0" simplePos="0" relativeHeight="251659264" behindDoc="0" locked="0" layoutInCell="1" allowOverlap="1" wp14:anchorId="456262EB" wp14:editId="6A799D32">
                <wp:simplePos x="0" y="0"/>
                <wp:positionH relativeFrom="page">
                  <wp:posOffset>664515</wp:posOffset>
                </wp:positionH>
                <wp:positionV relativeFrom="paragraph">
                  <wp:posOffset>1000760</wp:posOffset>
                </wp:positionV>
                <wp:extent cx="6286500" cy="370840"/>
                <wp:effectExtent l="8890" t="3810" r="635" b="6350"/>
                <wp:wrapTopAndBottom/>
                <wp:docPr id="542937611" name="Group 3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370840"/>
                          <a:chOff x="1123" y="1733"/>
                          <a:chExt cx="9872" cy="555"/>
                        </a:xfrm>
                      </wpg:grpSpPr>
                      <wps:wsp>
                        <wps:cNvPr id="910178619" name="Line 3559"/>
                        <wps:cNvCnPr>
                          <a:cxnSpLocks noChangeShapeType="1"/>
                        </wps:cNvCnPr>
                        <wps:spPr bwMode="auto">
                          <a:xfrm>
                            <a:off x="1142" y="1743"/>
                            <a:ext cx="983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930028406" name="Line 3558"/>
                        <wps:cNvCnPr>
                          <a:cxnSpLocks noChangeShapeType="1"/>
                        </wps:cNvCnPr>
                        <wps:spPr bwMode="auto">
                          <a:xfrm>
                            <a:off x="1133" y="1733"/>
                            <a:ext cx="0" cy="526"/>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598776793" name="Line 3557"/>
                        <wps:cNvCnPr>
                          <a:cxnSpLocks noChangeShapeType="1"/>
                        </wps:cNvCnPr>
                        <wps:spPr bwMode="auto">
                          <a:xfrm>
                            <a:off x="1123" y="2273"/>
                            <a:ext cx="9857"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26506846" name="Line 3556"/>
                        <wps:cNvCnPr>
                          <a:cxnSpLocks noChangeShapeType="1"/>
                        </wps:cNvCnPr>
                        <wps:spPr bwMode="auto">
                          <a:xfrm>
                            <a:off x="10994" y="1733"/>
                            <a:ext cx="0" cy="555"/>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38174883" name="Text Box 3555"/>
                        <wps:cNvSpPr txBox="1">
                          <a:spLocks noChangeArrowheads="1"/>
                        </wps:cNvSpPr>
                        <wps:spPr bwMode="auto">
                          <a:xfrm>
                            <a:off x="1133" y="1743"/>
                            <a:ext cx="9862"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6BF6C" w14:textId="77777777" w:rsidR="00E74754" w:rsidRDefault="00E74754" w:rsidP="00E74754">
                              <w:pPr>
                                <w:spacing w:before="129"/>
                                <w:ind w:left="1666"/>
                                <w:rPr>
                                  <w:b/>
                                </w:rPr>
                              </w:pPr>
                              <w:r>
                                <w:rPr>
                                  <w:b/>
                                </w:rPr>
                                <w:t>T1.1: TENDER NOTICE AND INVITATION TO TENDER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262EB" id="Group 3554" o:spid="_x0000_s1026" style="position:absolute;left:0;text-align:left;margin-left:52.3pt;margin-top:78.8pt;width:495pt;height:29.2pt;z-index:251659264;mso-wrap-distance-left:0;mso-wrap-distance-right:0;mso-position-horizontal-relative:page" coordorigin="1123,1733" coordsize="987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">
                <v:line id="Line 3559" o:spid="_x0000_s1027" style="position:absolute;visibility:visible;mso-wrap-style:square" from="1142,1743" to="10980,1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" strokeweight=".96pt"/>
                <v:line id="Line 3558" o:spid="_x0000_s1028" style="position:absolute;visibility:visible;mso-wrap-style:square" from="1133,1733" to="1133,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" strokeweight=".96pt"/>
                <v:line id="Line 3557" o:spid="_x0000_s1029" style="position:absolute;visibility:visible;mso-wrap-style:square" from="1123,2273" to="10980,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" strokeweight="1.44pt"/>
                <v:line id="Line 3556" o:spid="_x0000_s1030" style="position:absolute;visibility:visible;mso-wrap-style:square" from="10994,1733" to="10994,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" strokeweight="1.44pt"/>
                <v:shapetype id="_x0000_t202" coordsize="21600,21600" o:spt="202" path="m,l,21600r21600,l21600,xe">
                  <v:stroke joinstyle="miter"/>
                  <v:path gradientshapeok="t" o:connecttype="rect"/>
                </v:shapetype>
                <v:shape id="Text Box 3555" o:spid="_x0000_s1031" type="#_x0000_t202" style="position:absolute;left:1133;top:1743;width:9862;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" filled="f" stroked="f">
                  <v:textbox inset="0,0,0,0">
                    <w:txbxContent>
                      <w:p w14:paraId="7646BF6C" w14:textId="77777777" w:rsidR="00E74754" w:rsidRDefault="00E74754" w:rsidP="00E74754">
                        <w:pPr>
                          <w:spacing w:before="129"/>
                          <w:ind w:left="1666"/>
                          <w:rPr>
                            <w:b/>
                          </w:rPr>
                        </w:pPr>
                        <w:r>
                          <w:rPr>
                            <w:b/>
                          </w:rPr>
                          <w:t>T1.1: TENDER NOTICE AND INVITATION TO TENDER</w:t>
                        </w:r>
                      </w:p>
                    </w:txbxContent>
                  </v:textbox>
                </v:shape>
                <w10:wrap type="topAndBottom" anchorx="page"/>
              </v:group>
            </w:pict>
          </mc:Fallback>
        </mc:AlternateContent>
      </w:r>
      <w:r>
        <w:rPr>
          <w:b/>
          <w:sz w:val="24"/>
        </w:rPr>
        <w:t>UPGRADING OF RAISING MAIN TO KWANOJOLI RESERVOIRS</w:t>
      </w:r>
    </w:p>
    <w:p w14:paraId="204A0B9B" w14:textId="77777777" w:rsidR="00E74754" w:rsidRDefault="00E74754" w:rsidP="00E74754">
      <w:pPr>
        <w:pStyle w:val="BodyText"/>
        <w:spacing w:before="79"/>
        <w:ind w:left="152"/>
        <w:jc w:val="both"/>
      </w:pPr>
    </w:p>
    <w:p w14:paraId="53ABFBD8" w14:textId="77777777" w:rsidR="00E74754" w:rsidRPr="005421A2" w:rsidRDefault="00E74754" w:rsidP="00E74754">
      <w:pPr>
        <w:pStyle w:val="BodyText"/>
        <w:spacing w:before="79"/>
        <w:ind w:left="152"/>
        <w:jc w:val="both"/>
        <w:rPr>
          <w:b/>
          <w:bCs/>
        </w:rPr>
      </w:pPr>
      <w:r>
        <w:t xml:space="preserve">The Blue Crane Route Municipality invites tenders for the </w:t>
      </w:r>
      <w:bookmarkStart w:id="0" w:name="_Hlk173840112"/>
      <w:r w:rsidRPr="005421A2">
        <w:rPr>
          <w:b/>
          <w:bCs/>
        </w:rPr>
        <w:t xml:space="preserve">Upgrading of </w:t>
      </w:r>
      <w:r>
        <w:rPr>
          <w:b/>
          <w:bCs/>
        </w:rPr>
        <w:t xml:space="preserve">Rising Main to </w:t>
      </w:r>
      <w:proofErr w:type="spellStart"/>
      <w:r>
        <w:rPr>
          <w:b/>
          <w:bCs/>
        </w:rPr>
        <w:t>KwaNojoli</w:t>
      </w:r>
      <w:proofErr w:type="spellEnd"/>
      <w:r>
        <w:rPr>
          <w:b/>
          <w:bCs/>
        </w:rPr>
        <w:t xml:space="preserve"> Reservoirs</w:t>
      </w:r>
      <w:bookmarkEnd w:id="0"/>
      <w:r w:rsidRPr="005421A2">
        <w:rPr>
          <w:b/>
          <w:bCs/>
        </w:rPr>
        <w:t>:</w:t>
      </w:r>
    </w:p>
    <w:p w14:paraId="07E972B3" w14:textId="77777777" w:rsidR="00E74754" w:rsidRDefault="00E74754" w:rsidP="00E74754">
      <w:pPr>
        <w:pStyle w:val="BodyText"/>
        <w:spacing w:before="119"/>
        <w:ind w:left="152" w:right="158"/>
      </w:pPr>
      <w:r>
        <w:t xml:space="preserve">It is estimated that Tenderers should have a CIDB contractor grading designation </w:t>
      </w:r>
      <w:r w:rsidRPr="0014638D">
        <w:t xml:space="preserve">of </w:t>
      </w:r>
      <w:r w:rsidRPr="004114C2">
        <w:rPr>
          <w:b/>
          <w:bCs/>
        </w:rPr>
        <w:t>7</w:t>
      </w:r>
      <w:r w:rsidRPr="004114C2">
        <w:rPr>
          <w:b/>
        </w:rPr>
        <w:t>CE</w:t>
      </w:r>
      <w:r w:rsidRPr="0014638D">
        <w:rPr>
          <w:b/>
        </w:rPr>
        <w:t xml:space="preserve"> </w:t>
      </w:r>
      <w:r w:rsidRPr="0014638D">
        <w:t>or higher.</w:t>
      </w:r>
    </w:p>
    <w:p w14:paraId="21E1FFB7" w14:textId="77777777" w:rsidR="00E74754" w:rsidRDefault="00E74754" w:rsidP="00E74754">
      <w:pPr>
        <w:pStyle w:val="BodyText"/>
        <w:spacing w:before="9"/>
        <w:rPr>
          <w:sz w:val="19"/>
        </w:rPr>
      </w:pPr>
    </w:p>
    <w:p w14:paraId="761BDC47" w14:textId="77777777" w:rsidR="00E74754" w:rsidRDefault="00E74754" w:rsidP="00E74754">
      <w:pPr>
        <w:ind w:left="152"/>
        <w:jc w:val="both"/>
        <w:rPr>
          <w:b/>
          <w:sz w:val="20"/>
        </w:rPr>
      </w:pPr>
      <w:r>
        <w:rPr>
          <w:b/>
          <w:sz w:val="20"/>
        </w:rPr>
        <w:t>INVITATION AND SCOPE OF WORK</w:t>
      </w:r>
    </w:p>
    <w:p w14:paraId="25DE96F7" w14:textId="77777777" w:rsidR="00E74754" w:rsidRDefault="00E74754" w:rsidP="00E74754">
      <w:pPr>
        <w:pStyle w:val="BodyText"/>
        <w:spacing w:before="119"/>
        <w:ind w:left="152" w:right="158"/>
      </w:pPr>
      <w:r w:rsidRPr="0014638D">
        <w:t xml:space="preserve">Suitably experienced and qualified Contractors are invited to respond to this Tender invitation </w:t>
      </w:r>
      <w:r>
        <w:t xml:space="preserve">T21/2025 for the </w:t>
      </w:r>
      <w:r w:rsidRPr="00F51BF7">
        <w:t>Upgrading of</w:t>
      </w:r>
      <w:r>
        <w:t xml:space="preserve"> Rising Main to </w:t>
      </w:r>
      <w:proofErr w:type="spellStart"/>
      <w:r>
        <w:t>KwaNojoli</w:t>
      </w:r>
      <w:proofErr w:type="spellEnd"/>
      <w:r>
        <w:t xml:space="preserve"> Reservoirs</w:t>
      </w:r>
      <w:r w:rsidRPr="00F51BF7">
        <w:t xml:space="preserve"> in Somerset East</w:t>
      </w:r>
      <w:r>
        <w:t>.</w:t>
      </w:r>
    </w:p>
    <w:p w14:paraId="67524F47" w14:textId="77777777" w:rsidR="00E74754" w:rsidRDefault="00E74754" w:rsidP="00E74754">
      <w:pPr>
        <w:pStyle w:val="BodyText"/>
        <w:spacing w:before="8"/>
        <w:rPr>
          <w:sz w:val="19"/>
        </w:rPr>
      </w:pPr>
    </w:p>
    <w:p w14:paraId="5BB856EB" w14:textId="77777777" w:rsidR="00E74754" w:rsidRPr="00C14B03" w:rsidRDefault="00E74754" w:rsidP="00E74754">
      <w:pPr>
        <w:ind w:left="152"/>
        <w:jc w:val="both"/>
        <w:rPr>
          <w:b/>
          <w:sz w:val="20"/>
        </w:rPr>
      </w:pPr>
      <w:r w:rsidRPr="00C14B03">
        <w:rPr>
          <w:b/>
          <w:sz w:val="20"/>
        </w:rPr>
        <w:t>TENDER PUBLICATION</w:t>
      </w:r>
    </w:p>
    <w:p w14:paraId="49EB6670" w14:textId="77777777" w:rsidR="00E74754" w:rsidRPr="00C14B03" w:rsidRDefault="00E74754" w:rsidP="00E74754">
      <w:pPr>
        <w:pStyle w:val="BodyText"/>
        <w:spacing w:before="119"/>
        <w:ind w:left="152" w:right="148"/>
        <w:jc w:val="both"/>
      </w:pPr>
      <w:r w:rsidRPr="00CC5818">
        <w:t xml:space="preserve">Tender will be advertised on 27 October 2025. </w:t>
      </w:r>
      <w:r w:rsidRPr="00C14B03">
        <w:t xml:space="preserve">A non-refundable tender deposit of </w:t>
      </w:r>
      <w:r w:rsidRPr="009E75D8">
        <w:rPr>
          <w:b/>
        </w:rPr>
        <w:t>R750.00</w:t>
      </w:r>
      <w:r w:rsidRPr="00C14B03">
        <w:t>, Five Hundred- and fifty-Rand</w:t>
      </w:r>
      <w:r w:rsidRPr="00C14B03">
        <w:rPr>
          <w:b/>
          <w:color w:val="FF0000"/>
        </w:rPr>
        <w:t xml:space="preserve"> </w:t>
      </w:r>
      <w:r w:rsidRPr="00C14B03">
        <w:t>payable by any means to the Blue Crane Route Municipality is required prior to the collection of the tender documents.</w:t>
      </w:r>
    </w:p>
    <w:p w14:paraId="66C5B432" w14:textId="77777777" w:rsidR="00E74754" w:rsidRPr="00C14B03" w:rsidRDefault="00E74754" w:rsidP="00E74754">
      <w:pPr>
        <w:spacing w:before="119"/>
        <w:ind w:left="152"/>
        <w:jc w:val="both"/>
        <w:rPr>
          <w:b/>
          <w:sz w:val="20"/>
        </w:rPr>
      </w:pPr>
      <w:r w:rsidRPr="00C14B03">
        <w:rPr>
          <w:sz w:val="20"/>
        </w:rPr>
        <w:t xml:space="preserve">The physical address for the collection of tender documents is </w:t>
      </w:r>
      <w:r w:rsidRPr="00C14B03">
        <w:rPr>
          <w:b/>
          <w:sz w:val="20"/>
        </w:rPr>
        <w:t xml:space="preserve">67 </w:t>
      </w:r>
      <w:proofErr w:type="spellStart"/>
      <w:r w:rsidRPr="00C14B03">
        <w:rPr>
          <w:b/>
          <w:sz w:val="20"/>
        </w:rPr>
        <w:t>Nojoli</w:t>
      </w:r>
      <w:proofErr w:type="spellEnd"/>
      <w:r w:rsidRPr="00C14B03">
        <w:rPr>
          <w:b/>
          <w:sz w:val="20"/>
        </w:rPr>
        <w:t xml:space="preserve"> Street, Somerset East.</w:t>
      </w:r>
    </w:p>
    <w:p w14:paraId="499ED661" w14:textId="77777777" w:rsidR="00E74754" w:rsidRPr="00C14B03" w:rsidRDefault="00E74754" w:rsidP="00E74754">
      <w:pPr>
        <w:spacing w:before="190"/>
        <w:ind w:left="152"/>
        <w:jc w:val="both"/>
        <w:rPr>
          <w:b/>
          <w:sz w:val="20"/>
        </w:rPr>
      </w:pPr>
      <w:r w:rsidRPr="00C14B03">
        <w:rPr>
          <w:b/>
          <w:sz w:val="20"/>
        </w:rPr>
        <w:t>Banking details</w:t>
      </w:r>
    </w:p>
    <w:p w14:paraId="6D931683" w14:textId="77777777" w:rsidR="00E74754" w:rsidRPr="00C14B03" w:rsidRDefault="00E74754" w:rsidP="00E74754">
      <w:pPr>
        <w:pStyle w:val="BodyText"/>
        <w:tabs>
          <w:tab w:val="left" w:pos="1593"/>
        </w:tabs>
        <w:spacing w:before="122" w:line="357" w:lineRule="auto"/>
        <w:ind w:left="152" w:right="7359"/>
      </w:pPr>
      <w:r w:rsidRPr="00C14B03">
        <w:t xml:space="preserve">Bank: ABSA </w:t>
      </w:r>
    </w:p>
    <w:p w14:paraId="3ED3802C" w14:textId="77777777" w:rsidR="00E74754" w:rsidRPr="00C14B03" w:rsidRDefault="00E74754" w:rsidP="00E74754">
      <w:pPr>
        <w:pStyle w:val="BodyText"/>
        <w:tabs>
          <w:tab w:val="left" w:pos="1593"/>
        </w:tabs>
        <w:spacing w:line="357" w:lineRule="auto"/>
        <w:ind w:left="152" w:right="7359"/>
      </w:pPr>
      <w:r w:rsidRPr="00C14B03">
        <w:t>Account</w:t>
      </w:r>
      <w:r w:rsidRPr="00C14B03">
        <w:rPr>
          <w:spacing w:val="-2"/>
        </w:rPr>
        <w:t xml:space="preserve"> </w:t>
      </w:r>
      <w:r w:rsidRPr="00C14B03">
        <w:t>No: 2200000008</w:t>
      </w:r>
    </w:p>
    <w:p w14:paraId="52E8F711" w14:textId="77777777" w:rsidR="00E74754" w:rsidRPr="00C14B03" w:rsidRDefault="00E74754" w:rsidP="00E74754">
      <w:pPr>
        <w:pStyle w:val="BodyText"/>
        <w:ind w:left="152"/>
        <w:jc w:val="both"/>
      </w:pPr>
      <w:r w:rsidRPr="00C14B03">
        <w:t>Branch code: 632005</w:t>
      </w:r>
    </w:p>
    <w:p w14:paraId="4E5B3445" w14:textId="77777777" w:rsidR="00E74754" w:rsidRPr="00C14B03" w:rsidRDefault="00E74754" w:rsidP="00E74754">
      <w:pPr>
        <w:pStyle w:val="BodyText"/>
        <w:tabs>
          <w:tab w:val="left" w:pos="1593"/>
          <w:tab w:val="left" w:pos="2313"/>
        </w:tabs>
        <w:spacing w:before="121" w:line="357" w:lineRule="auto"/>
        <w:ind w:left="152" w:right="4116"/>
        <w:rPr>
          <w:w w:val="99"/>
        </w:rPr>
      </w:pPr>
      <w:r w:rsidRPr="00C14B03">
        <w:t>Account</w:t>
      </w:r>
      <w:r w:rsidRPr="00C14B03">
        <w:rPr>
          <w:spacing w:val="-3"/>
        </w:rPr>
        <w:t xml:space="preserve"> </w:t>
      </w:r>
      <w:r w:rsidRPr="00C14B03">
        <w:t>Name: Blue Crane</w:t>
      </w:r>
      <w:r w:rsidRPr="00C14B03">
        <w:rPr>
          <w:spacing w:val="-9"/>
        </w:rPr>
        <w:t xml:space="preserve"> </w:t>
      </w:r>
      <w:r w:rsidRPr="00C14B03">
        <w:t>Route</w:t>
      </w:r>
      <w:r w:rsidRPr="00C14B03">
        <w:rPr>
          <w:spacing w:val="-5"/>
        </w:rPr>
        <w:t xml:space="preserve"> </w:t>
      </w:r>
      <w:r w:rsidRPr="00C14B03">
        <w:t>Municipality</w:t>
      </w:r>
      <w:r w:rsidRPr="00C14B03">
        <w:rPr>
          <w:w w:val="99"/>
        </w:rPr>
        <w:t xml:space="preserve"> </w:t>
      </w:r>
    </w:p>
    <w:p w14:paraId="1BF126E4" w14:textId="77777777" w:rsidR="00E74754" w:rsidRPr="00C14B03" w:rsidRDefault="00E74754" w:rsidP="00E74754">
      <w:pPr>
        <w:pStyle w:val="BodyText"/>
        <w:tabs>
          <w:tab w:val="left" w:pos="1593"/>
          <w:tab w:val="left" w:pos="2313"/>
        </w:tabs>
        <w:spacing w:line="357" w:lineRule="auto"/>
        <w:ind w:left="152" w:right="3709"/>
      </w:pPr>
      <w:r w:rsidRPr="00C14B03">
        <w:t>Reference:</w:t>
      </w:r>
      <w:r w:rsidRPr="00C14B03">
        <w:tab/>
        <w:t>BCRM T</w:t>
      </w:r>
      <w:r>
        <w:t>21/2025</w:t>
      </w:r>
      <w:r w:rsidRPr="00C14B03">
        <w:t xml:space="preserve"> (followed by bidder’s</w:t>
      </w:r>
      <w:r w:rsidRPr="00C14B03">
        <w:rPr>
          <w:spacing w:val="-21"/>
        </w:rPr>
        <w:t xml:space="preserve"> </w:t>
      </w:r>
      <w:r w:rsidRPr="00C14B03">
        <w:t>name)</w:t>
      </w:r>
    </w:p>
    <w:p w14:paraId="0D6DBAEB" w14:textId="77777777" w:rsidR="00E74754" w:rsidRPr="00B11790" w:rsidRDefault="00E74754" w:rsidP="00E74754">
      <w:pPr>
        <w:pStyle w:val="BodyText"/>
        <w:spacing w:before="6"/>
        <w:rPr>
          <w:sz w:val="25"/>
          <w:highlight w:val="yellow"/>
        </w:rPr>
      </w:pPr>
    </w:p>
    <w:p w14:paraId="45A884CA" w14:textId="77777777" w:rsidR="00E74754" w:rsidRPr="00B0441A" w:rsidRDefault="00E74754" w:rsidP="00E74754">
      <w:pPr>
        <w:ind w:left="152"/>
        <w:jc w:val="both"/>
        <w:rPr>
          <w:b/>
          <w:sz w:val="20"/>
        </w:rPr>
      </w:pPr>
      <w:r w:rsidRPr="00B0441A">
        <w:rPr>
          <w:b/>
          <w:sz w:val="20"/>
        </w:rPr>
        <w:t>COMPULSORY TENDER CLARIFICATION MEETING</w:t>
      </w:r>
    </w:p>
    <w:p w14:paraId="6CFB14CB" w14:textId="77777777" w:rsidR="00E74754" w:rsidRDefault="00E74754" w:rsidP="00E74754">
      <w:pPr>
        <w:spacing w:before="121"/>
        <w:ind w:left="152" w:right="146"/>
        <w:jc w:val="both"/>
        <w:rPr>
          <w:b/>
          <w:sz w:val="20"/>
        </w:rPr>
      </w:pPr>
      <w:r w:rsidRPr="00C14B03">
        <w:rPr>
          <w:sz w:val="20"/>
        </w:rPr>
        <w:t xml:space="preserve">A compulsory clarification meeting with representatives of the Employer and the Engineer will take place at the Blue Crane Route Municipality </w:t>
      </w:r>
      <w:r w:rsidRPr="00C14B03">
        <w:rPr>
          <w:b/>
          <w:sz w:val="20"/>
        </w:rPr>
        <w:t xml:space="preserve">Town Hall </w:t>
      </w:r>
      <w:r w:rsidRPr="00C14B03">
        <w:rPr>
          <w:sz w:val="20"/>
        </w:rPr>
        <w:t xml:space="preserve">in Somerset East. Location, Latitude: 32°43'10"S, Longitude 25°35'00"E on </w:t>
      </w:r>
      <w:r w:rsidRPr="005B0E4F">
        <w:rPr>
          <w:b/>
          <w:bCs/>
          <w:sz w:val="20"/>
        </w:rPr>
        <w:t>10 November</w:t>
      </w:r>
      <w:r w:rsidRPr="003B428A">
        <w:rPr>
          <w:b/>
          <w:color w:val="FF0000"/>
          <w:sz w:val="20"/>
        </w:rPr>
        <w:t xml:space="preserve"> </w:t>
      </w:r>
      <w:r w:rsidRPr="003B428A">
        <w:rPr>
          <w:b/>
          <w:sz w:val="20"/>
        </w:rPr>
        <w:t>2025</w:t>
      </w:r>
      <w:r w:rsidRPr="003B428A">
        <w:rPr>
          <w:b/>
          <w:color w:val="FF0000"/>
          <w:sz w:val="20"/>
        </w:rPr>
        <w:t xml:space="preserve"> </w:t>
      </w:r>
      <w:r w:rsidRPr="00C14B03">
        <w:rPr>
          <w:sz w:val="20"/>
        </w:rPr>
        <w:t xml:space="preserve">starting at </w:t>
      </w:r>
      <w:r w:rsidRPr="00C14B03">
        <w:rPr>
          <w:b/>
          <w:sz w:val="20"/>
        </w:rPr>
        <w:t xml:space="preserve">10:00 </w:t>
      </w:r>
      <w:r w:rsidRPr="00C14B03">
        <w:rPr>
          <w:sz w:val="20"/>
        </w:rPr>
        <w:t xml:space="preserve">where all the contractual and tendering aspects of the documents will </w:t>
      </w:r>
      <w:r w:rsidRPr="00C14B03">
        <w:rPr>
          <w:spacing w:val="2"/>
          <w:sz w:val="20"/>
        </w:rPr>
        <w:t xml:space="preserve">be </w:t>
      </w:r>
      <w:r w:rsidRPr="00C14B03">
        <w:rPr>
          <w:sz w:val="20"/>
        </w:rPr>
        <w:t xml:space="preserve">explained followed by a site inspection and an explanation of the technical requirements of the Contract. </w:t>
      </w:r>
      <w:r w:rsidRPr="00C14B03">
        <w:rPr>
          <w:sz w:val="20"/>
          <w:u w:val="single"/>
        </w:rPr>
        <w:t xml:space="preserve">Attendance and completion of the attendance register is compulsory for all Tenderers. </w:t>
      </w:r>
      <w:r w:rsidRPr="00C14B03">
        <w:rPr>
          <w:sz w:val="20"/>
        </w:rPr>
        <w:t xml:space="preserve">Tenderers must appear on the attendance register to be considered as being present. </w:t>
      </w:r>
      <w:r>
        <w:rPr>
          <w:sz w:val="20"/>
        </w:rPr>
        <w:t xml:space="preserve">Each Tenderer to be represented by one official throughout the briefing and a Roll call will be done at the end of the meeting. </w:t>
      </w:r>
      <w:r w:rsidRPr="00C14B03">
        <w:rPr>
          <w:b/>
          <w:sz w:val="20"/>
        </w:rPr>
        <w:t>Note that Tenderers who are more than 15 minutes late for the meeting will not be allowed to attend the meeting and will not be allowed to sign the attendance</w:t>
      </w:r>
      <w:r w:rsidRPr="00C14B03">
        <w:rPr>
          <w:b/>
          <w:spacing w:val="-24"/>
          <w:sz w:val="20"/>
        </w:rPr>
        <w:t xml:space="preserve"> </w:t>
      </w:r>
      <w:r w:rsidRPr="00C14B03">
        <w:rPr>
          <w:b/>
          <w:sz w:val="20"/>
        </w:rPr>
        <w:t>register</w:t>
      </w:r>
      <w:r>
        <w:rPr>
          <w:b/>
          <w:sz w:val="20"/>
        </w:rPr>
        <w:t xml:space="preserve"> and those who do not attend a roll call at the end of the briefing will be rendered </w:t>
      </w:r>
      <w:proofErr w:type="gramStart"/>
      <w:r>
        <w:rPr>
          <w:b/>
          <w:sz w:val="20"/>
        </w:rPr>
        <w:t>non responsive</w:t>
      </w:r>
      <w:proofErr w:type="gramEnd"/>
      <w:r w:rsidRPr="00C14B03">
        <w:rPr>
          <w:b/>
          <w:sz w:val="20"/>
        </w:rPr>
        <w:t>.</w:t>
      </w:r>
    </w:p>
    <w:p w14:paraId="7759A0A9" w14:textId="77777777" w:rsidR="00E74754" w:rsidRDefault="00E74754" w:rsidP="00E74754">
      <w:pPr>
        <w:pStyle w:val="BodyText"/>
        <w:spacing w:before="2"/>
        <w:rPr>
          <w:b/>
          <w:sz w:val="15"/>
        </w:rPr>
      </w:pPr>
    </w:p>
    <w:p w14:paraId="5B3423B3" w14:textId="77777777" w:rsidR="00E74754" w:rsidRDefault="00E74754" w:rsidP="005B0E4F">
      <w:pPr>
        <w:spacing w:before="99"/>
        <w:jc w:val="both"/>
        <w:rPr>
          <w:b/>
          <w:sz w:val="20"/>
        </w:rPr>
      </w:pPr>
    </w:p>
    <w:p w14:paraId="7A4A819C" w14:textId="77777777" w:rsidR="00E74754" w:rsidRDefault="00E74754" w:rsidP="00E74754">
      <w:pPr>
        <w:spacing w:before="99"/>
        <w:ind w:left="152"/>
        <w:jc w:val="both"/>
        <w:rPr>
          <w:b/>
          <w:sz w:val="20"/>
        </w:rPr>
      </w:pPr>
      <w:r>
        <w:rPr>
          <w:b/>
          <w:sz w:val="20"/>
        </w:rPr>
        <w:t>EVALUATION CRITERIA</w:t>
      </w:r>
    </w:p>
    <w:p w14:paraId="175B39FB" w14:textId="77777777" w:rsidR="00E74754" w:rsidRDefault="00E74754" w:rsidP="00E74754">
      <w:pPr>
        <w:pStyle w:val="BodyText"/>
        <w:spacing w:before="119"/>
        <w:ind w:left="152" w:right="146"/>
        <w:jc w:val="both"/>
      </w:pPr>
      <w:r>
        <w:t>Functionality: Tender offers will only be considered responsive if the minimum Functionality requirement of 70% is achieved. Tenders will be evaluated based on the following two stages, namely:</w:t>
      </w:r>
    </w:p>
    <w:p w14:paraId="21CC12D9" w14:textId="77777777" w:rsidR="00E74754" w:rsidRDefault="00E74754" w:rsidP="00E74754">
      <w:pPr>
        <w:pStyle w:val="BodyText"/>
        <w:spacing w:before="119"/>
        <w:ind w:left="152" w:right="146"/>
        <w:jc w:val="both"/>
      </w:pPr>
    </w:p>
    <w:p w14:paraId="2CFBDF4E" w14:textId="77777777" w:rsidR="00E74754" w:rsidRDefault="00E74754" w:rsidP="00E74754">
      <w:pPr>
        <w:pStyle w:val="BodyText"/>
        <w:spacing w:before="8"/>
        <w:rPr>
          <w:sz w:val="19"/>
        </w:rPr>
      </w:pPr>
    </w:p>
    <w:tbl>
      <w:tblPr>
        <w:tblW w:w="0" w:type="auto"/>
        <w:tblInd w:w="1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03"/>
        <w:gridCol w:w="1042"/>
      </w:tblGrid>
      <w:tr w:rsidR="00E74754" w:rsidRPr="006062DD" w14:paraId="3E5FFD9D" w14:textId="77777777" w:rsidTr="009B09B4">
        <w:trPr>
          <w:trHeight w:hRule="exact" w:val="304"/>
        </w:trPr>
        <w:tc>
          <w:tcPr>
            <w:tcW w:w="6503" w:type="dxa"/>
            <w:shd w:val="clear" w:color="auto" w:fill="BEBEBE"/>
          </w:tcPr>
          <w:p w14:paraId="55B29052" w14:textId="77777777" w:rsidR="00E74754" w:rsidRPr="006062DD" w:rsidRDefault="00E74754" w:rsidP="009B09B4">
            <w:pPr>
              <w:pStyle w:val="TableParagraph"/>
              <w:spacing w:before="23"/>
              <w:ind w:left="98"/>
              <w:rPr>
                <w:b/>
                <w:sz w:val="20"/>
              </w:rPr>
            </w:pPr>
            <w:r w:rsidRPr="006062DD">
              <w:rPr>
                <w:b/>
                <w:sz w:val="20"/>
              </w:rPr>
              <w:t>CRITERIA</w:t>
            </w:r>
          </w:p>
        </w:tc>
        <w:tc>
          <w:tcPr>
            <w:tcW w:w="1042" w:type="dxa"/>
            <w:shd w:val="clear" w:color="auto" w:fill="BEBEBE"/>
          </w:tcPr>
          <w:p w14:paraId="3E578397" w14:textId="77777777" w:rsidR="00E74754" w:rsidRPr="006062DD" w:rsidRDefault="00E74754" w:rsidP="009B09B4">
            <w:pPr>
              <w:pStyle w:val="TableParagraph"/>
              <w:spacing w:before="23"/>
              <w:ind w:left="76" w:right="105"/>
              <w:jc w:val="center"/>
              <w:rPr>
                <w:b/>
                <w:sz w:val="20"/>
              </w:rPr>
            </w:pPr>
            <w:r w:rsidRPr="006062DD">
              <w:rPr>
                <w:b/>
                <w:sz w:val="20"/>
              </w:rPr>
              <w:t>Weight</w:t>
            </w:r>
          </w:p>
        </w:tc>
      </w:tr>
      <w:tr w:rsidR="00E74754" w:rsidRPr="006062DD" w14:paraId="15B2ADBD" w14:textId="77777777" w:rsidTr="009B09B4">
        <w:trPr>
          <w:trHeight w:hRule="exact" w:val="302"/>
        </w:trPr>
        <w:tc>
          <w:tcPr>
            <w:tcW w:w="6503" w:type="dxa"/>
            <w:shd w:val="clear" w:color="auto" w:fill="D0CECE"/>
          </w:tcPr>
          <w:p w14:paraId="03914E00" w14:textId="77777777" w:rsidR="00E74754" w:rsidRPr="006062DD" w:rsidRDefault="00E74754" w:rsidP="009B09B4">
            <w:pPr>
              <w:pStyle w:val="TableParagraph"/>
              <w:spacing w:before="22"/>
              <w:ind w:left="98"/>
              <w:rPr>
                <w:sz w:val="20"/>
              </w:rPr>
            </w:pPr>
            <w:r w:rsidRPr="006062DD">
              <w:rPr>
                <w:sz w:val="20"/>
              </w:rPr>
              <w:t xml:space="preserve">STAGE 1 OF EVALUATION – </w:t>
            </w:r>
            <w:r>
              <w:rPr>
                <w:sz w:val="20"/>
              </w:rPr>
              <w:t>QUALITY</w:t>
            </w:r>
          </w:p>
        </w:tc>
        <w:tc>
          <w:tcPr>
            <w:tcW w:w="1042" w:type="dxa"/>
            <w:shd w:val="clear" w:color="auto" w:fill="D0CECE"/>
          </w:tcPr>
          <w:p w14:paraId="786A00EE" w14:textId="77777777" w:rsidR="00E74754" w:rsidRPr="006062DD" w:rsidRDefault="00E74754" w:rsidP="009B09B4">
            <w:pPr>
              <w:pStyle w:val="TableParagraph"/>
              <w:spacing w:before="22"/>
              <w:ind w:left="76" w:right="81"/>
              <w:jc w:val="center"/>
              <w:rPr>
                <w:sz w:val="20"/>
              </w:rPr>
            </w:pPr>
            <w:r w:rsidRPr="006062DD">
              <w:rPr>
                <w:sz w:val="20"/>
              </w:rPr>
              <w:t>100</w:t>
            </w:r>
          </w:p>
        </w:tc>
      </w:tr>
      <w:tr w:rsidR="00E74754" w:rsidRPr="006062DD" w14:paraId="0156393E" w14:textId="77777777" w:rsidTr="009B09B4">
        <w:trPr>
          <w:trHeight w:hRule="exact" w:val="302"/>
        </w:trPr>
        <w:tc>
          <w:tcPr>
            <w:tcW w:w="6503" w:type="dxa"/>
          </w:tcPr>
          <w:p w14:paraId="02BFE822" w14:textId="77777777" w:rsidR="00E74754" w:rsidRPr="006062DD" w:rsidRDefault="00E74754" w:rsidP="009B09B4">
            <w:pPr>
              <w:pStyle w:val="TableParagraph"/>
              <w:spacing w:before="22"/>
              <w:ind w:left="98"/>
              <w:rPr>
                <w:sz w:val="20"/>
              </w:rPr>
            </w:pPr>
            <w:r w:rsidRPr="006062DD">
              <w:rPr>
                <w:sz w:val="20"/>
              </w:rPr>
              <w:t>With Quality the following criteria will be applicable:</w:t>
            </w:r>
          </w:p>
        </w:tc>
        <w:tc>
          <w:tcPr>
            <w:tcW w:w="1042" w:type="dxa"/>
          </w:tcPr>
          <w:p w14:paraId="173903DF" w14:textId="77777777" w:rsidR="00E74754" w:rsidRPr="006062DD" w:rsidRDefault="00E74754" w:rsidP="009B09B4"/>
        </w:tc>
      </w:tr>
      <w:tr w:rsidR="00E74754" w:rsidRPr="006062DD" w14:paraId="0C05A115" w14:textId="77777777" w:rsidTr="009B09B4">
        <w:trPr>
          <w:trHeight w:hRule="exact" w:val="305"/>
        </w:trPr>
        <w:tc>
          <w:tcPr>
            <w:tcW w:w="6503" w:type="dxa"/>
          </w:tcPr>
          <w:p w14:paraId="63DE9E9E" w14:textId="77777777" w:rsidR="00E74754" w:rsidRPr="006062DD" w:rsidRDefault="00E74754" w:rsidP="009B09B4">
            <w:pPr>
              <w:pStyle w:val="TableParagraph"/>
              <w:spacing w:before="24"/>
              <w:ind w:left="98"/>
              <w:rPr>
                <w:sz w:val="20"/>
              </w:rPr>
            </w:pPr>
            <w:r w:rsidRPr="006062DD">
              <w:rPr>
                <w:sz w:val="20"/>
              </w:rPr>
              <w:t xml:space="preserve">Company </w:t>
            </w:r>
            <w:r>
              <w:rPr>
                <w:sz w:val="20"/>
              </w:rPr>
              <w:t>Resources</w:t>
            </w:r>
          </w:p>
        </w:tc>
        <w:tc>
          <w:tcPr>
            <w:tcW w:w="1042" w:type="dxa"/>
          </w:tcPr>
          <w:p w14:paraId="6E77FBD9" w14:textId="77777777" w:rsidR="00E74754" w:rsidRPr="006062DD" w:rsidRDefault="00E74754" w:rsidP="009B09B4">
            <w:pPr>
              <w:pStyle w:val="TableParagraph"/>
              <w:spacing w:before="24"/>
              <w:ind w:left="76" w:right="79"/>
              <w:jc w:val="center"/>
              <w:rPr>
                <w:sz w:val="20"/>
              </w:rPr>
            </w:pPr>
            <w:r>
              <w:rPr>
                <w:sz w:val="20"/>
              </w:rPr>
              <w:t>15</w:t>
            </w:r>
          </w:p>
        </w:tc>
      </w:tr>
      <w:tr w:rsidR="00E74754" w:rsidRPr="006062DD" w14:paraId="707D5841" w14:textId="77777777" w:rsidTr="009B09B4">
        <w:trPr>
          <w:trHeight w:hRule="exact" w:val="305"/>
        </w:trPr>
        <w:tc>
          <w:tcPr>
            <w:tcW w:w="6503" w:type="dxa"/>
          </w:tcPr>
          <w:p w14:paraId="4F014FCF" w14:textId="77777777" w:rsidR="00E74754" w:rsidRPr="006062DD" w:rsidRDefault="00E74754" w:rsidP="009B09B4">
            <w:pPr>
              <w:pStyle w:val="TableParagraph"/>
              <w:spacing w:before="24"/>
              <w:ind w:left="98"/>
              <w:rPr>
                <w:sz w:val="20"/>
              </w:rPr>
            </w:pPr>
            <w:r w:rsidRPr="006062DD">
              <w:rPr>
                <w:sz w:val="20"/>
              </w:rPr>
              <w:t>Key Personnel Experience</w:t>
            </w:r>
          </w:p>
        </w:tc>
        <w:tc>
          <w:tcPr>
            <w:tcW w:w="1042" w:type="dxa"/>
          </w:tcPr>
          <w:p w14:paraId="005FA659" w14:textId="77777777" w:rsidR="00E74754" w:rsidRPr="006062DD" w:rsidRDefault="00E74754" w:rsidP="009B09B4">
            <w:pPr>
              <w:pStyle w:val="TableParagraph"/>
              <w:spacing w:before="24"/>
              <w:ind w:left="76" w:right="79"/>
              <w:jc w:val="center"/>
              <w:rPr>
                <w:sz w:val="20"/>
              </w:rPr>
            </w:pPr>
            <w:r w:rsidRPr="006062DD">
              <w:rPr>
                <w:sz w:val="20"/>
              </w:rPr>
              <w:t>4</w:t>
            </w:r>
            <w:r>
              <w:rPr>
                <w:sz w:val="20"/>
              </w:rPr>
              <w:t>5</w:t>
            </w:r>
          </w:p>
        </w:tc>
      </w:tr>
      <w:tr w:rsidR="00E74754" w:rsidRPr="006062DD" w14:paraId="1EC87308" w14:textId="77777777" w:rsidTr="009B09B4">
        <w:trPr>
          <w:trHeight w:hRule="exact" w:val="302"/>
        </w:trPr>
        <w:tc>
          <w:tcPr>
            <w:tcW w:w="6503" w:type="dxa"/>
          </w:tcPr>
          <w:p w14:paraId="13AFB119" w14:textId="77777777" w:rsidR="00E74754" w:rsidRPr="006062DD" w:rsidRDefault="00E74754" w:rsidP="009B09B4">
            <w:pPr>
              <w:pStyle w:val="TableParagraph"/>
              <w:spacing w:before="22"/>
              <w:ind w:left="98"/>
              <w:rPr>
                <w:sz w:val="20"/>
              </w:rPr>
            </w:pPr>
            <w:r w:rsidRPr="006062DD">
              <w:rPr>
                <w:sz w:val="20"/>
              </w:rPr>
              <w:t>Experience in Contracts of Similar Nature</w:t>
            </w:r>
          </w:p>
        </w:tc>
        <w:tc>
          <w:tcPr>
            <w:tcW w:w="1042" w:type="dxa"/>
          </w:tcPr>
          <w:p w14:paraId="5629DB21" w14:textId="77777777" w:rsidR="00E74754" w:rsidRPr="006062DD" w:rsidRDefault="00E74754" w:rsidP="009B09B4">
            <w:pPr>
              <w:pStyle w:val="TableParagraph"/>
              <w:spacing w:before="22"/>
              <w:ind w:left="76" w:right="79"/>
              <w:jc w:val="center"/>
              <w:rPr>
                <w:sz w:val="20"/>
              </w:rPr>
            </w:pPr>
            <w:r>
              <w:rPr>
                <w:sz w:val="20"/>
              </w:rPr>
              <w:t>40</w:t>
            </w:r>
          </w:p>
        </w:tc>
      </w:tr>
      <w:tr w:rsidR="00E74754" w:rsidRPr="006062DD" w14:paraId="6D11D33B" w14:textId="77777777" w:rsidTr="009B09B4">
        <w:trPr>
          <w:trHeight w:hRule="exact" w:val="302"/>
        </w:trPr>
        <w:tc>
          <w:tcPr>
            <w:tcW w:w="6503" w:type="dxa"/>
            <w:shd w:val="clear" w:color="auto" w:fill="C0C0C0"/>
          </w:tcPr>
          <w:p w14:paraId="0AF1BEEB" w14:textId="77777777" w:rsidR="00E74754" w:rsidRPr="006062DD" w:rsidRDefault="00E74754" w:rsidP="009B09B4">
            <w:pPr>
              <w:pStyle w:val="TableParagraph"/>
              <w:spacing w:before="22"/>
              <w:ind w:left="98"/>
              <w:rPr>
                <w:sz w:val="20"/>
              </w:rPr>
            </w:pPr>
            <w:r w:rsidRPr="006062DD">
              <w:rPr>
                <w:sz w:val="20"/>
              </w:rPr>
              <w:t>STAGE 2 OF EVALUATION – PREFERENCE POINTS and PRICE</w:t>
            </w:r>
          </w:p>
        </w:tc>
        <w:tc>
          <w:tcPr>
            <w:tcW w:w="1042" w:type="dxa"/>
            <w:shd w:val="clear" w:color="auto" w:fill="C0C0C0"/>
          </w:tcPr>
          <w:p w14:paraId="7735FC02" w14:textId="77777777" w:rsidR="00E74754" w:rsidRPr="006062DD" w:rsidRDefault="00E74754" w:rsidP="009B09B4"/>
        </w:tc>
      </w:tr>
      <w:tr w:rsidR="00E74754" w:rsidRPr="006062DD" w14:paraId="50CBE299" w14:textId="77777777" w:rsidTr="009B09B4">
        <w:trPr>
          <w:trHeight w:hRule="exact" w:val="303"/>
        </w:trPr>
        <w:tc>
          <w:tcPr>
            <w:tcW w:w="6503" w:type="dxa"/>
          </w:tcPr>
          <w:p w14:paraId="5FE17E09" w14:textId="77777777" w:rsidR="00E74754" w:rsidRPr="006062DD" w:rsidRDefault="00E74754" w:rsidP="009B09B4">
            <w:pPr>
              <w:pStyle w:val="TableParagraph"/>
              <w:spacing w:before="22"/>
              <w:ind w:left="98"/>
              <w:rPr>
                <w:sz w:val="20"/>
              </w:rPr>
            </w:pPr>
            <w:r w:rsidRPr="006062DD">
              <w:rPr>
                <w:sz w:val="20"/>
              </w:rPr>
              <w:t>Preference Points</w:t>
            </w:r>
          </w:p>
        </w:tc>
        <w:tc>
          <w:tcPr>
            <w:tcW w:w="1042" w:type="dxa"/>
          </w:tcPr>
          <w:p w14:paraId="68AD05FE" w14:textId="77777777" w:rsidR="00E74754" w:rsidRPr="006062DD" w:rsidRDefault="00E74754" w:rsidP="009B09B4">
            <w:pPr>
              <w:pStyle w:val="TableParagraph"/>
              <w:spacing w:before="22"/>
              <w:ind w:left="76" w:right="78"/>
              <w:jc w:val="center"/>
              <w:rPr>
                <w:sz w:val="20"/>
              </w:rPr>
            </w:pPr>
            <w:r w:rsidRPr="006062DD">
              <w:rPr>
                <w:sz w:val="20"/>
              </w:rPr>
              <w:t>20</w:t>
            </w:r>
          </w:p>
        </w:tc>
      </w:tr>
      <w:tr w:rsidR="00E74754" w:rsidRPr="006062DD" w14:paraId="7356A606" w14:textId="77777777" w:rsidTr="009B09B4">
        <w:trPr>
          <w:trHeight w:hRule="exact" w:val="305"/>
        </w:trPr>
        <w:tc>
          <w:tcPr>
            <w:tcW w:w="6503" w:type="dxa"/>
          </w:tcPr>
          <w:p w14:paraId="38C0F50E" w14:textId="77777777" w:rsidR="00E74754" w:rsidRPr="006062DD" w:rsidRDefault="00E74754" w:rsidP="009B09B4">
            <w:pPr>
              <w:pStyle w:val="TableParagraph"/>
              <w:spacing w:before="24"/>
              <w:ind w:left="98"/>
              <w:rPr>
                <w:sz w:val="20"/>
              </w:rPr>
            </w:pPr>
            <w:r w:rsidRPr="006062DD">
              <w:rPr>
                <w:sz w:val="20"/>
              </w:rPr>
              <w:t>Price</w:t>
            </w:r>
          </w:p>
        </w:tc>
        <w:tc>
          <w:tcPr>
            <w:tcW w:w="1042" w:type="dxa"/>
          </w:tcPr>
          <w:p w14:paraId="5D85DC05" w14:textId="77777777" w:rsidR="00E74754" w:rsidRPr="006062DD" w:rsidRDefault="00E74754" w:rsidP="009B09B4">
            <w:pPr>
              <w:pStyle w:val="TableParagraph"/>
              <w:spacing w:before="24"/>
              <w:ind w:left="76" w:right="78"/>
              <w:jc w:val="center"/>
              <w:rPr>
                <w:sz w:val="20"/>
              </w:rPr>
            </w:pPr>
            <w:r w:rsidRPr="006062DD">
              <w:rPr>
                <w:sz w:val="20"/>
              </w:rPr>
              <w:t>80</w:t>
            </w:r>
          </w:p>
        </w:tc>
      </w:tr>
      <w:tr w:rsidR="00E74754" w:rsidRPr="006062DD" w14:paraId="498E2F38" w14:textId="77777777" w:rsidTr="009B09B4">
        <w:trPr>
          <w:trHeight w:hRule="exact" w:val="302"/>
        </w:trPr>
        <w:tc>
          <w:tcPr>
            <w:tcW w:w="6503" w:type="dxa"/>
          </w:tcPr>
          <w:p w14:paraId="5E2C17D5" w14:textId="77777777" w:rsidR="00E74754" w:rsidRPr="006062DD" w:rsidRDefault="00E74754" w:rsidP="009B09B4">
            <w:pPr>
              <w:pStyle w:val="TableParagraph"/>
              <w:spacing w:before="22"/>
              <w:ind w:left="98"/>
              <w:rPr>
                <w:sz w:val="20"/>
              </w:rPr>
            </w:pPr>
            <w:r w:rsidRPr="006062DD">
              <w:rPr>
                <w:sz w:val="20"/>
              </w:rPr>
              <w:t>TOTAL</w:t>
            </w:r>
          </w:p>
        </w:tc>
        <w:tc>
          <w:tcPr>
            <w:tcW w:w="1042" w:type="dxa"/>
          </w:tcPr>
          <w:p w14:paraId="5C9B36B2" w14:textId="77777777" w:rsidR="00E74754" w:rsidRPr="006062DD" w:rsidRDefault="00E74754" w:rsidP="009B09B4">
            <w:pPr>
              <w:pStyle w:val="TableParagraph"/>
              <w:spacing w:before="22"/>
              <w:ind w:left="76" w:right="81"/>
              <w:jc w:val="center"/>
              <w:rPr>
                <w:sz w:val="20"/>
              </w:rPr>
            </w:pPr>
            <w:r w:rsidRPr="006062DD">
              <w:rPr>
                <w:sz w:val="20"/>
              </w:rPr>
              <w:t>100</w:t>
            </w:r>
          </w:p>
        </w:tc>
      </w:tr>
    </w:tbl>
    <w:p w14:paraId="6EB6480A" w14:textId="77777777" w:rsidR="00E74754" w:rsidRPr="00D217CC" w:rsidRDefault="00E74754" w:rsidP="00E74754">
      <w:pPr>
        <w:pStyle w:val="BodyText"/>
        <w:spacing w:before="11"/>
        <w:rPr>
          <w:sz w:val="22"/>
          <w:highlight w:val="yellow"/>
        </w:rPr>
      </w:pPr>
    </w:p>
    <w:p w14:paraId="61F69986" w14:textId="77777777" w:rsidR="00E74754" w:rsidRDefault="00E74754" w:rsidP="00E74754">
      <w:pPr>
        <w:pStyle w:val="BodyText"/>
        <w:ind w:left="152" w:right="146"/>
        <w:jc w:val="both"/>
      </w:pPr>
      <w:r w:rsidRPr="00045848">
        <w:t>The Preference Points will be allocated according to HDI (Historically Disadvantaged Individual) status as follow</w:t>
      </w:r>
      <w:r>
        <w:t>s- see Standard conditions F11.6</w:t>
      </w:r>
    </w:p>
    <w:p w14:paraId="4C6C871D" w14:textId="77777777" w:rsidR="00E74754" w:rsidRPr="00045848" w:rsidRDefault="00E74754" w:rsidP="00E74754">
      <w:pPr>
        <w:pStyle w:val="BodyText"/>
        <w:ind w:left="152" w:right="146"/>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E74754" w:rsidRPr="002C1473" w14:paraId="172172DD" w14:textId="77777777" w:rsidTr="009B09B4">
        <w:trPr>
          <w:trHeight w:val="863"/>
          <w:jc w:val="center"/>
        </w:trPr>
        <w:tc>
          <w:tcPr>
            <w:tcW w:w="2700" w:type="dxa"/>
            <w:shd w:val="clear" w:color="auto" w:fill="BFBFBF" w:themeFill="background1" w:themeFillShade="BF"/>
            <w:vAlign w:val="center"/>
          </w:tcPr>
          <w:p w14:paraId="7A8850C7" w14:textId="77777777" w:rsidR="00E74754" w:rsidRPr="002C1473" w:rsidRDefault="00E74754" w:rsidP="009B09B4">
            <w:pPr>
              <w:pStyle w:val="NormalWeb"/>
              <w:kinsoku w:val="0"/>
              <w:overflowPunct w:val="0"/>
              <w:spacing w:before="96" w:beforeAutospacing="0" w:after="0" w:afterAutospacing="0"/>
              <w:jc w:val="center"/>
              <w:textAlignment w:val="baseline"/>
              <w:rPr>
                <w:rFonts w:ascii="Arial" w:hAnsi="Arial" w:cs="Arial"/>
                <w:b/>
                <w:sz w:val="20"/>
                <w:szCs w:val="20"/>
              </w:rPr>
            </w:pPr>
            <w:r w:rsidRPr="002C1473">
              <w:rPr>
                <w:rFonts w:ascii="Arial" w:hAnsi="Arial" w:cs="Arial"/>
                <w:b/>
                <w:kern w:val="24"/>
                <w:sz w:val="20"/>
                <w:szCs w:val="20"/>
              </w:rPr>
              <w:t>Specific Goals</w:t>
            </w:r>
          </w:p>
        </w:tc>
        <w:tc>
          <w:tcPr>
            <w:tcW w:w="2520" w:type="dxa"/>
            <w:shd w:val="clear" w:color="auto" w:fill="BFBFBF" w:themeFill="background1" w:themeFillShade="BF"/>
            <w:vAlign w:val="center"/>
          </w:tcPr>
          <w:p w14:paraId="5A8FDC0D" w14:textId="77777777" w:rsidR="00E74754" w:rsidRPr="002C1473" w:rsidRDefault="00E74754" w:rsidP="009B09B4">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2C1473">
              <w:rPr>
                <w:rFonts w:ascii="Arial" w:hAnsi="Arial" w:cs="Arial"/>
                <w:b/>
                <w:kern w:val="24"/>
                <w:sz w:val="20"/>
                <w:szCs w:val="20"/>
              </w:rPr>
              <w:t>Number of points</w:t>
            </w:r>
          </w:p>
          <w:p w14:paraId="5BF9BF01" w14:textId="77777777" w:rsidR="00E74754" w:rsidRPr="002C1473" w:rsidRDefault="00E74754" w:rsidP="009B09B4">
            <w:pPr>
              <w:pStyle w:val="NormalWeb"/>
              <w:kinsoku w:val="0"/>
              <w:overflowPunct w:val="0"/>
              <w:spacing w:before="96" w:beforeAutospacing="0" w:after="0" w:afterAutospacing="0"/>
              <w:jc w:val="center"/>
              <w:textAlignment w:val="baseline"/>
              <w:rPr>
                <w:rFonts w:ascii="Arial" w:hAnsi="Arial" w:cs="Arial"/>
                <w:b/>
                <w:sz w:val="20"/>
                <w:szCs w:val="20"/>
              </w:rPr>
            </w:pPr>
            <w:r w:rsidRPr="002C1473">
              <w:rPr>
                <w:rFonts w:ascii="Arial" w:hAnsi="Arial" w:cs="Arial"/>
                <w:b/>
                <w:kern w:val="24"/>
                <w:sz w:val="20"/>
                <w:szCs w:val="20"/>
              </w:rPr>
              <w:t>(80/20 system)</w:t>
            </w:r>
          </w:p>
        </w:tc>
      </w:tr>
      <w:tr w:rsidR="00E74754" w:rsidRPr="002C1473" w14:paraId="447E4625" w14:textId="77777777" w:rsidTr="009B09B4">
        <w:trPr>
          <w:trHeight w:val="317"/>
          <w:jc w:val="center"/>
        </w:trPr>
        <w:tc>
          <w:tcPr>
            <w:tcW w:w="2700" w:type="dxa"/>
          </w:tcPr>
          <w:p w14:paraId="79405888" w14:textId="77777777" w:rsidR="00E74754" w:rsidRPr="002C1473" w:rsidRDefault="00E74754" w:rsidP="009B09B4">
            <w:pPr>
              <w:pStyle w:val="NormalWeb"/>
              <w:kinsoku w:val="0"/>
              <w:overflowPunct w:val="0"/>
              <w:spacing w:before="0" w:beforeAutospacing="0" w:after="0" w:afterAutospacing="0"/>
              <w:jc w:val="center"/>
              <w:textAlignment w:val="baseline"/>
              <w:rPr>
                <w:rFonts w:ascii="Arial" w:hAnsi="Arial" w:cs="Arial"/>
                <w:sz w:val="20"/>
                <w:szCs w:val="20"/>
              </w:rPr>
            </w:pPr>
            <w:r w:rsidRPr="002C1473">
              <w:rPr>
                <w:rFonts w:ascii="Arial" w:hAnsi="Arial" w:cs="Arial"/>
                <w:sz w:val="20"/>
                <w:szCs w:val="20"/>
              </w:rPr>
              <w:t>HDI - Race</w:t>
            </w:r>
          </w:p>
        </w:tc>
        <w:tc>
          <w:tcPr>
            <w:tcW w:w="2520" w:type="dxa"/>
          </w:tcPr>
          <w:p w14:paraId="349147DA" w14:textId="77777777" w:rsidR="00E74754" w:rsidRPr="00875B34" w:rsidRDefault="00E74754" w:rsidP="009B09B4">
            <w:pPr>
              <w:pStyle w:val="NormalWeb"/>
              <w:kinsoku w:val="0"/>
              <w:overflowPunct w:val="0"/>
              <w:spacing w:before="0" w:beforeAutospacing="0" w:after="0" w:afterAutospacing="0"/>
              <w:jc w:val="center"/>
              <w:textAlignment w:val="baseline"/>
              <w:rPr>
                <w:rFonts w:ascii="Arial" w:hAnsi="Arial" w:cs="Arial"/>
                <w:sz w:val="20"/>
                <w:szCs w:val="20"/>
              </w:rPr>
            </w:pPr>
            <w:r>
              <w:rPr>
                <w:rFonts w:ascii="Arial" w:hAnsi="Arial" w:cs="Arial"/>
                <w:sz w:val="20"/>
                <w:szCs w:val="20"/>
              </w:rPr>
              <w:t>5</w:t>
            </w:r>
          </w:p>
        </w:tc>
      </w:tr>
      <w:tr w:rsidR="00E74754" w:rsidRPr="002C1473" w14:paraId="0B3D7904" w14:textId="77777777" w:rsidTr="009B09B4">
        <w:trPr>
          <w:trHeight w:val="317"/>
          <w:jc w:val="center"/>
        </w:trPr>
        <w:tc>
          <w:tcPr>
            <w:tcW w:w="2700" w:type="dxa"/>
          </w:tcPr>
          <w:p w14:paraId="3B55CC03" w14:textId="77777777" w:rsidR="00E74754" w:rsidRPr="002C1473" w:rsidRDefault="00E74754" w:rsidP="009B09B4">
            <w:pPr>
              <w:pStyle w:val="NormalWeb"/>
              <w:kinsoku w:val="0"/>
              <w:overflowPunct w:val="0"/>
              <w:spacing w:before="0" w:beforeAutospacing="0" w:after="0" w:afterAutospacing="0"/>
              <w:jc w:val="center"/>
              <w:textAlignment w:val="baseline"/>
              <w:rPr>
                <w:rFonts w:ascii="Arial" w:hAnsi="Arial" w:cs="Arial"/>
                <w:sz w:val="20"/>
                <w:szCs w:val="20"/>
              </w:rPr>
            </w:pPr>
            <w:r w:rsidRPr="002C1473">
              <w:rPr>
                <w:rFonts w:ascii="Arial" w:hAnsi="Arial" w:cs="Arial"/>
                <w:sz w:val="20"/>
                <w:szCs w:val="20"/>
              </w:rPr>
              <w:t>HDI – Gender</w:t>
            </w:r>
          </w:p>
        </w:tc>
        <w:tc>
          <w:tcPr>
            <w:tcW w:w="2520" w:type="dxa"/>
          </w:tcPr>
          <w:p w14:paraId="65806F5F" w14:textId="77777777" w:rsidR="00E74754" w:rsidRPr="00875B34" w:rsidRDefault="00E74754" w:rsidP="009B09B4">
            <w:pPr>
              <w:pStyle w:val="NormalWeb"/>
              <w:kinsoku w:val="0"/>
              <w:overflowPunct w:val="0"/>
              <w:spacing w:before="0" w:beforeAutospacing="0" w:after="0" w:afterAutospacing="0"/>
              <w:jc w:val="center"/>
              <w:textAlignment w:val="baseline"/>
              <w:rPr>
                <w:rFonts w:ascii="Arial" w:hAnsi="Arial" w:cs="Arial"/>
                <w:sz w:val="20"/>
                <w:szCs w:val="20"/>
              </w:rPr>
            </w:pPr>
            <w:r>
              <w:rPr>
                <w:rFonts w:ascii="Arial" w:hAnsi="Arial" w:cs="Arial"/>
                <w:sz w:val="20"/>
                <w:szCs w:val="20"/>
              </w:rPr>
              <w:t>5</w:t>
            </w:r>
          </w:p>
        </w:tc>
      </w:tr>
      <w:tr w:rsidR="00E74754" w:rsidRPr="002C1473" w14:paraId="472A14BC" w14:textId="77777777" w:rsidTr="009B09B4">
        <w:trPr>
          <w:trHeight w:val="317"/>
          <w:jc w:val="center"/>
        </w:trPr>
        <w:tc>
          <w:tcPr>
            <w:tcW w:w="2700" w:type="dxa"/>
          </w:tcPr>
          <w:p w14:paraId="50583856" w14:textId="77777777" w:rsidR="00E74754" w:rsidRPr="002C1473" w:rsidRDefault="00E74754" w:rsidP="009B09B4">
            <w:pPr>
              <w:pStyle w:val="NormalWeb"/>
              <w:kinsoku w:val="0"/>
              <w:overflowPunct w:val="0"/>
              <w:spacing w:before="0" w:beforeAutospacing="0" w:after="0" w:afterAutospacing="0"/>
              <w:jc w:val="center"/>
              <w:textAlignment w:val="baseline"/>
              <w:rPr>
                <w:rFonts w:ascii="Arial" w:hAnsi="Arial" w:cs="Arial"/>
                <w:sz w:val="20"/>
                <w:szCs w:val="20"/>
              </w:rPr>
            </w:pPr>
            <w:r w:rsidRPr="002C1473">
              <w:rPr>
                <w:rFonts w:ascii="Arial" w:hAnsi="Arial" w:cs="Arial"/>
                <w:sz w:val="20"/>
                <w:szCs w:val="20"/>
              </w:rPr>
              <w:t>HDI – Disability</w:t>
            </w:r>
          </w:p>
        </w:tc>
        <w:tc>
          <w:tcPr>
            <w:tcW w:w="2520" w:type="dxa"/>
          </w:tcPr>
          <w:p w14:paraId="637629AF" w14:textId="77777777" w:rsidR="00E74754" w:rsidRPr="00875B34" w:rsidRDefault="00E74754" w:rsidP="009B09B4">
            <w:pPr>
              <w:pStyle w:val="NormalWeb"/>
              <w:kinsoku w:val="0"/>
              <w:overflowPunct w:val="0"/>
              <w:spacing w:before="0" w:beforeAutospacing="0" w:after="0" w:afterAutospacing="0"/>
              <w:jc w:val="center"/>
              <w:textAlignment w:val="baseline"/>
              <w:rPr>
                <w:rFonts w:ascii="Arial" w:hAnsi="Arial" w:cs="Arial"/>
                <w:sz w:val="20"/>
                <w:szCs w:val="20"/>
              </w:rPr>
            </w:pPr>
            <w:r>
              <w:rPr>
                <w:rFonts w:ascii="Arial" w:hAnsi="Arial" w:cs="Arial"/>
                <w:sz w:val="20"/>
                <w:szCs w:val="20"/>
              </w:rPr>
              <w:t>5</w:t>
            </w:r>
          </w:p>
        </w:tc>
      </w:tr>
      <w:tr w:rsidR="00E74754" w:rsidRPr="002C1473" w14:paraId="1A1E5252" w14:textId="77777777" w:rsidTr="009B09B4">
        <w:trPr>
          <w:trHeight w:val="317"/>
          <w:jc w:val="center"/>
        </w:trPr>
        <w:tc>
          <w:tcPr>
            <w:tcW w:w="2700" w:type="dxa"/>
          </w:tcPr>
          <w:p w14:paraId="346A5B4C" w14:textId="77777777" w:rsidR="00E74754" w:rsidRPr="002C1473" w:rsidRDefault="00E74754" w:rsidP="009B09B4">
            <w:pPr>
              <w:pStyle w:val="NormalWeb"/>
              <w:kinsoku w:val="0"/>
              <w:overflowPunct w:val="0"/>
              <w:spacing w:before="0" w:beforeAutospacing="0" w:after="0" w:afterAutospacing="0"/>
              <w:jc w:val="center"/>
              <w:textAlignment w:val="baseline"/>
              <w:rPr>
                <w:rFonts w:ascii="Arial" w:hAnsi="Arial" w:cs="Arial"/>
                <w:sz w:val="20"/>
                <w:szCs w:val="20"/>
              </w:rPr>
            </w:pPr>
            <w:r w:rsidRPr="002C1473">
              <w:rPr>
                <w:rFonts w:ascii="Arial" w:hAnsi="Arial" w:cs="Arial"/>
                <w:sz w:val="20"/>
                <w:szCs w:val="20"/>
              </w:rPr>
              <w:t>HDI - Youth</w:t>
            </w:r>
          </w:p>
        </w:tc>
        <w:tc>
          <w:tcPr>
            <w:tcW w:w="2520" w:type="dxa"/>
          </w:tcPr>
          <w:p w14:paraId="6F3D34C5" w14:textId="77777777" w:rsidR="00E74754" w:rsidRPr="00875B34" w:rsidRDefault="00E74754" w:rsidP="009B09B4">
            <w:pPr>
              <w:pStyle w:val="NormalWeb"/>
              <w:kinsoku w:val="0"/>
              <w:overflowPunct w:val="0"/>
              <w:spacing w:before="0" w:beforeAutospacing="0" w:after="0" w:afterAutospacing="0"/>
              <w:jc w:val="center"/>
              <w:textAlignment w:val="baseline"/>
              <w:rPr>
                <w:rFonts w:ascii="Arial" w:hAnsi="Arial" w:cs="Arial"/>
                <w:sz w:val="20"/>
                <w:szCs w:val="20"/>
              </w:rPr>
            </w:pPr>
            <w:r>
              <w:rPr>
                <w:rFonts w:ascii="Arial" w:hAnsi="Arial" w:cs="Arial"/>
                <w:sz w:val="20"/>
                <w:szCs w:val="20"/>
              </w:rPr>
              <w:t>5</w:t>
            </w:r>
          </w:p>
        </w:tc>
      </w:tr>
      <w:tr w:rsidR="00E74754" w:rsidRPr="002C1473" w14:paraId="5904F8C3" w14:textId="77777777" w:rsidTr="009B09B4">
        <w:trPr>
          <w:trHeight w:val="317"/>
          <w:jc w:val="center"/>
        </w:trPr>
        <w:tc>
          <w:tcPr>
            <w:tcW w:w="2700" w:type="dxa"/>
          </w:tcPr>
          <w:p w14:paraId="1848C4DF" w14:textId="77777777" w:rsidR="00E74754" w:rsidRPr="002C1473" w:rsidRDefault="00E74754" w:rsidP="009B09B4">
            <w:pPr>
              <w:pStyle w:val="NormalWeb"/>
              <w:kinsoku w:val="0"/>
              <w:overflowPunct w:val="0"/>
              <w:spacing w:before="0" w:beforeAutospacing="0" w:after="0" w:afterAutospacing="0"/>
              <w:jc w:val="center"/>
              <w:textAlignment w:val="baseline"/>
              <w:rPr>
                <w:rFonts w:ascii="Arial" w:hAnsi="Arial" w:cs="Arial"/>
                <w:sz w:val="20"/>
                <w:szCs w:val="20"/>
              </w:rPr>
            </w:pPr>
            <w:r w:rsidRPr="002C1473">
              <w:rPr>
                <w:rFonts w:ascii="Arial" w:hAnsi="Arial" w:cs="Arial"/>
                <w:kern w:val="24"/>
                <w:sz w:val="20"/>
                <w:szCs w:val="20"/>
              </w:rPr>
              <w:t xml:space="preserve">Non-compliant </w:t>
            </w:r>
          </w:p>
        </w:tc>
        <w:tc>
          <w:tcPr>
            <w:tcW w:w="2520" w:type="dxa"/>
          </w:tcPr>
          <w:p w14:paraId="3AB55184" w14:textId="77777777" w:rsidR="00E74754" w:rsidRPr="002C1473" w:rsidRDefault="00E74754" w:rsidP="009B09B4">
            <w:pPr>
              <w:pStyle w:val="NormalWeb"/>
              <w:kinsoku w:val="0"/>
              <w:overflowPunct w:val="0"/>
              <w:spacing w:before="0" w:beforeAutospacing="0" w:after="0" w:afterAutospacing="0"/>
              <w:jc w:val="center"/>
              <w:textAlignment w:val="baseline"/>
              <w:rPr>
                <w:rFonts w:ascii="Arial" w:hAnsi="Arial" w:cs="Arial"/>
                <w:sz w:val="20"/>
                <w:szCs w:val="20"/>
              </w:rPr>
            </w:pPr>
            <w:r w:rsidRPr="002C1473">
              <w:rPr>
                <w:rFonts w:ascii="Arial" w:hAnsi="Arial" w:cs="Arial"/>
                <w:kern w:val="24"/>
                <w:sz w:val="20"/>
                <w:szCs w:val="20"/>
              </w:rPr>
              <w:t>0</w:t>
            </w:r>
          </w:p>
        </w:tc>
      </w:tr>
    </w:tbl>
    <w:p w14:paraId="2EC83971" w14:textId="77777777" w:rsidR="00E74754" w:rsidRDefault="00E74754" w:rsidP="00E74754">
      <w:pPr>
        <w:ind w:left="152"/>
        <w:jc w:val="both"/>
        <w:rPr>
          <w:b/>
          <w:sz w:val="20"/>
        </w:rPr>
      </w:pPr>
    </w:p>
    <w:p w14:paraId="50189715" w14:textId="77777777" w:rsidR="005B0E4F" w:rsidRDefault="005B0E4F" w:rsidP="00E74754">
      <w:pPr>
        <w:ind w:left="152"/>
        <w:jc w:val="both"/>
        <w:rPr>
          <w:b/>
          <w:sz w:val="20"/>
        </w:rPr>
      </w:pPr>
    </w:p>
    <w:p w14:paraId="52506D68" w14:textId="77777777" w:rsidR="00E74754" w:rsidRDefault="00E74754" w:rsidP="00E74754">
      <w:pPr>
        <w:ind w:left="152"/>
        <w:jc w:val="both"/>
        <w:rPr>
          <w:b/>
          <w:sz w:val="20"/>
        </w:rPr>
      </w:pPr>
      <w:r>
        <w:rPr>
          <w:b/>
          <w:sz w:val="20"/>
        </w:rPr>
        <w:t>TENDER ENQUIRIES</w:t>
      </w:r>
    </w:p>
    <w:p w14:paraId="728201F3" w14:textId="18BA924F" w:rsidR="00E74754" w:rsidRPr="007C23BE" w:rsidRDefault="00E74754" w:rsidP="00E74754">
      <w:pPr>
        <w:pStyle w:val="BodyText"/>
        <w:spacing w:before="119" w:line="243" w:lineRule="exact"/>
        <w:ind w:left="152"/>
        <w:jc w:val="both"/>
      </w:pPr>
      <w:r w:rsidRPr="007C23BE">
        <w:t xml:space="preserve">Queries relating to the issue of these documents may be addressed to </w:t>
      </w:r>
      <w:proofErr w:type="spellStart"/>
      <w:r w:rsidRPr="007C23BE">
        <w:t>Mr</w:t>
      </w:r>
      <w:proofErr w:type="spellEnd"/>
      <w:r w:rsidRPr="007C23BE">
        <w:t xml:space="preserve"> R. Musendo, E-mail: </w:t>
      </w:r>
      <w:hyperlink r:id="rId7" w:history="1">
        <w:r w:rsidRPr="007C23BE">
          <w:rPr>
            <w:rStyle w:val="Hyperlink"/>
            <w:color w:val="auto"/>
          </w:rPr>
          <w:t>richard@mzansiafrica.co.za.</w:t>
        </w:r>
      </w:hyperlink>
      <w:r w:rsidRPr="007C23BE">
        <w:t xml:space="preserve"> The municipal official responsible for Technical Enquiries is </w:t>
      </w:r>
      <w:proofErr w:type="spellStart"/>
      <w:r w:rsidRPr="007C23BE">
        <w:t>Ms</w:t>
      </w:r>
      <w:proofErr w:type="spellEnd"/>
      <w:r w:rsidRPr="007C23BE">
        <w:t xml:space="preserve"> Zameka Cenya, E-mail: </w:t>
      </w:r>
      <w:hyperlink r:id="rId8" w:history="1">
        <w:r w:rsidR="005B0E4F" w:rsidRPr="00601761">
          <w:rPr>
            <w:rStyle w:val="Hyperlink"/>
          </w:rPr>
          <w:t>zamekac@bcrm.gov.za</w:t>
        </w:r>
      </w:hyperlink>
      <w:r w:rsidR="005B0E4F">
        <w:t xml:space="preserve"> and </w:t>
      </w:r>
      <w:proofErr w:type="spellStart"/>
      <w:r w:rsidR="005B0E4F">
        <w:t>Ms</w:t>
      </w:r>
      <w:proofErr w:type="spellEnd"/>
      <w:r w:rsidR="005B0E4F">
        <w:t xml:space="preserve"> A </w:t>
      </w:r>
      <w:proofErr w:type="spellStart"/>
      <w:r w:rsidR="005B0E4F">
        <w:t>Nodunyelwa</w:t>
      </w:r>
      <w:proofErr w:type="spellEnd"/>
      <w:r w:rsidR="005B0E4F">
        <w:t xml:space="preserve">, Email: </w:t>
      </w:r>
      <w:hyperlink r:id="rId9" w:history="1">
        <w:r w:rsidR="00A44C73" w:rsidRPr="00601761">
          <w:rPr>
            <w:rStyle w:val="Hyperlink"/>
          </w:rPr>
          <w:t>Asitandilen@bcrm.gov.za</w:t>
        </w:r>
      </w:hyperlink>
      <w:r w:rsidR="00A44C73">
        <w:t xml:space="preserve"> </w:t>
      </w:r>
      <w:r w:rsidRPr="007C23BE">
        <w:rPr>
          <w:rStyle w:val="Hyperlink"/>
          <w:color w:val="auto"/>
        </w:rPr>
        <w:t xml:space="preserve"> For Supply Chain Management enquiries the official responsible is </w:t>
      </w:r>
      <w:proofErr w:type="spellStart"/>
      <w:r w:rsidRPr="007C23BE">
        <w:rPr>
          <w:rStyle w:val="Hyperlink"/>
          <w:color w:val="auto"/>
        </w:rPr>
        <w:t>Ms</w:t>
      </w:r>
      <w:proofErr w:type="spellEnd"/>
      <w:r w:rsidRPr="007C23BE">
        <w:rPr>
          <w:rStyle w:val="Hyperlink"/>
          <w:color w:val="auto"/>
        </w:rPr>
        <w:t xml:space="preserve"> Thembakazi Mapekula</w:t>
      </w:r>
      <w:r w:rsidRPr="007C23BE">
        <w:t>, E-mail: tmapekula@bcrm.gov.za.</w:t>
      </w:r>
    </w:p>
    <w:p w14:paraId="0091B8F3" w14:textId="77777777" w:rsidR="00E74754" w:rsidRPr="008E1625" w:rsidRDefault="00E74754" w:rsidP="00E74754">
      <w:pPr>
        <w:pStyle w:val="BodyText"/>
        <w:ind w:left="152" w:right="147"/>
        <w:jc w:val="both"/>
      </w:pPr>
    </w:p>
    <w:p w14:paraId="7170E484" w14:textId="77777777" w:rsidR="00E74754" w:rsidRPr="003835E9" w:rsidRDefault="00E74754" w:rsidP="00E74754">
      <w:pPr>
        <w:ind w:left="152"/>
        <w:jc w:val="both"/>
        <w:rPr>
          <w:b/>
          <w:sz w:val="19"/>
        </w:rPr>
      </w:pPr>
      <w:r w:rsidRPr="003835E9">
        <w:rPr>
          <w:b/>
          <w:sz w:val="19"/>
        </w:rPr>
        <w:t>BID SUBMISSION</w:t>
      </w:r>
    </w:p>
    <w:p w14:paraId="12FB9C89" w14:textId="77777777" w:rsidR="00E74754" w:rsidRPr="00336D59" w:rsidRDefault="00E74754" w:rsidP="00E74754">
      <w:pPr>
        <w:pStyle w:val="BodyText"/>
        <w:spacing w:before="121"/>
        <w:ind w:left="152" w:right="145"/>
        <w:jc w:val="both"/>
      </w:pPr>
      <w:r w:rsidRPr="00336D59">
        <w:t xml:space="preserve">The closing time for receipt of tenders is </w:t>
      </w:r>
      <w:r w:rsidRPr="00336D59">
        <w:rPr>
          <w:b/>
        </w:rPr>
        <w:t xml:space="preserve">12:00 on 28 November 2025. </w:t>
      </w:r>
      <w:r w:rsidRPr="00336D59">
        <w:t>Tenders must be enclosed in sealed envelopes, bearing the applicable tender heading and reference number, as well as the closing time and due date. No late submission will be considered.</w:t>
      </w:r>
    </w:p>
    <w:p w14:paraId="59B0E718" w14:textId="77777777" w:rsidR="00E74754" w:rsidRPr="003835E9" w:rsidRDefault="00E74754" w:rsidP="00E74754">
      <w:pPr>
        <w:pStyle w:val="BodyText"/>
        <w:spacing w:before="119"/>
        <w:ind w:left="152" w:right="148"/>
        <w:jc w:val="both"/>
      </w:pPr>
      <w:r w:rsidRPr="003835E9">
        <w:t xml:space="preserve">Tenders must be submitted </w:t>
      </w:r>
      <w:proofErr w:type="gramStart"/>
      <w:r w:rsidRPr="003835E9">
        <w:t>in</w:t>
      </w:r>
      <w:proofErr w:type="gramEnd"/>
      <w:r w:rsidRPr="003835E9">
        <w:t xml:space="preserve"> the MUNICIPAL TENDER BOX situated at </w:t>
      </w:r>
      <w:r w:rsidRPr="003835E9">
        <w:rPr>
          <w:b/>
        </w:rPr>
        <w:t xml:space="preserve">67 </w:t>
      </w:r>
      <w:proofErr w:type="spellStart"/>
      <w:r w:rsidRPr="003835E9">
        <w:rPr>
          <w:b/>
        </w:rPr>
        <w:t>Nojoli</w:t>
      </w:r>
      <w:proofErr w:type="spellEnd"/>
      <w:r w:rsidRPr="003835E9">
        <w:rPr>
          <w:b/>
        </w:rPr>
        <w:t xml:space="preserve"> Street, Somerset East, 5850. </w:t>
      </w:r>
      <w:r w:rsidRPr="003835E9">
        <w:t xml:space="preserve">Tenders will be opened in public strictly at </w:t>
      </w:r>
      <w:r w:rsidRPr="003835E9">
        <w:rPr>
          <w:b/>
        </w:rPr>
        <w:t xml:space="preserve">12:00 </w:t>
      </w:r>
      <w:r w:rsidRPr="003835E9">
        <w:t>at the address stated above. More requirements for sealing, addressing, delivery, opening and assessment of tenders are stated in the Tender Data.</w:t>
      </w:r>
    </w:p>
    <w:p w14:paraId="729E6DD0" w14:textId="77777777" w:rsidR="00E74754" w:rsidRPr="003835E9" w:rsidRDefault="00E74754" w:rsidP="00E74754">
      <w:pPr>
        <w:pStyle w:val="BodyText"/>
        <w:spacing w:before="119"/>
        <w:ind w:left="152" w:right="145"/>
        <w:jc w:val="both"/>
      </w:pPr>
      <w:r w:rsidRPr="003835E9">
        <w:t xml:space="preserve">A tender must remain valid for a period of 90 days from the closing date for the submission of tenders. The lowest or any tender will not necessarily be accepted, and the Municipality reserves the right to accept a tender as a whole or in part. Telegraphic, telephonic, telex, facsimile, e-mail, posted and late tenders will not be accepted. Tenders may only be submitted on the tender documentation that is issued. Additional requirements for </w:t>
      </w:r>
      <w:proofErr w:type="gramStart"/>
      <w:r w:rsidRPr="003835E9">
        <w:t>sealing</w:t>
      </w:r>
      <w:proofErr w:type="gramEnd"/>
      <w:r w:rsidRPr="003835E9">
        <w:t>, addressing, delivery, opening and assessment of tenders are stated in the Tender Data.</w:t>
      </w:r>
    </w:p>
    <w:p w14:paraId="42E7CC8F" w14:textId="77777777" w:rsidR="00E74754" w:rsidRPr="003835E9" w:rsidRDefault="00E74754" w:rsidP="00E74754">
      <w:pPr>
        <w:pStyle w:val="BodyText"/>
        <w:spacing w:before="163"/>
        <w:ind w:left="152" w:right="155"/>
        <w:jc w:val="both"/>
      </w:pPr>
      <w:r w:rsidRPr="003835E9">
        <w:t>It is the Bidders Responsibility to place tender documents in the tender box. Responsibility for couriered documents lies with the Bidder.</w:t>
      </w:r>
    </w:p>
    <w:p w14:paraId="519F5780" w14:textId="77777777" w:rsidR="00E74754" w:rsidRPr="003835E9" w:rsidRDefault="00E74754" w:rsidP="00E74754">
      <w:pPr>
        <w:pStyle w:val="BodyText"/>
        <w:spacing w:before="10"/>
        <w:rPr>
          <w:sz w:val="19"/>
        </w:rPr>
      </w:pPr>
    </w:p>
    <w:p w14:paraId="68ECA343" w14:textId="77777777" w:rsidR="00E74754" w:rsidRPr="003835E9" w:rsidRDefault="00E74754" w:rsidP="00E74754">
      <w:pPr>
        <w:pStyle w:val="BodyText"/>
        <w:ind w:left="152" w:right="146"/>
        <w:jc w:val="both"/>
      </w:pPr>
      <w:r w:rsidRPr="003835E9">
        <w:t>THE BID IS SUBJECTED TO THE PREFERENTIAL PROCUREMENT POLICY FRAMEWORK ACT AND THE PREFERENTIAL PROCUREMENT REGULATIONS, 2022, THE GENERAL CONDITIONS OF CONTRACT 2015 (GCC 2015) AND, IF APPLICABLE, ANY OTHER SPECIAL CONDITIONS OF CONTRACT.</w:t>
      </w:r>
    </w:p>
    <w:p w14:paraId="59403268" w14:textId="77777777" w:rsidR="00E74754" w:rsidRPr="003835E9" w:rsidRDefault="00E74754" w:rsidP="00E74754">
      <w:pPr>
        <w:spacing w:before="1"/>
        <w:ind w:left="152" w:right="149"/>
        <w:jc w:val="both"/>
        <w:rPr>
          <w:b/>
          <w:sz w:val="20"/>
        </w:rPr>
      </w:pPr>
      <w:r w:rsidRPr="003835E9">
        <w:rPr>
          <w:b/>
          <w:sz w:val="20"/>
        </w:rPr>
        <w:t>NB: NO BIDS WILL BE CONSIDERED FROM PERSONS IN THE SERVICE OF THE STATE (AS DEFINED IN REGULATION 1 OF THE LOCAL GOVERNMENT: MUNICIPAL SUPPLY CHAIN MANAGEMENT REGULATIONS).</w:t>
      </w:r>
    </w:p>
    <w:p w14:paraId="0EDA9D4C" w14:textId="77777777" w:rsidR="00E74754" w:rsidRDefault="00E74754" w:rsidP="00E74754">
      <w:pPr>
        <w:jc w:val="both"/>
        <w:rPr>
          <w:sz w:val="20"/>
        </w:rPr>
      </w:pPr>
    </w:p>
    <w:p w14:paraId="73D11418" w14:textId="77777777" w:rsidR="00E74754" w:rsidRDefault="00E74754" w:rsidP="00E74754">
      <w:pPr>
        <w:jc w:val="both"/>
        <w:rPr>
          <w:sz w:val="20"/>
        </w:rPr>
      </w:pPr>
    </w:p>
    <w:p w14:paraId="36FCD25B" w14:textId="77777777" w:rsidR="00E74754" w:rsidRDefault="00E74754" w:rsidP="00E74754">
      <w:pPr>
        <w:jc w:val="both"/>
        <w:rPr>
          <w:sz w:val="20"/>
        </w:rPr>
      </w:pPr>
    </w:p>
    <w:p w14:paraId="1C1ECDCB" w14:textId="77777777" w:rsidR="00E74754" w:rsidRDefault="00E74754" w:rsidP="00E74754">
      <w:pPr>
        <w:jc w:val="both"/>
        <w:rPr>
          <w:sz w:val="20"/>
        </w:rPr>
      </w:pPr>
      <w:r>
        <w:rPr>
          <w:sz w:val="20"/>
        </w:rPr>
        <w:t>Issued by</w:t>
      </w:r>
    </w:p>
    <w:p w14:paraId="64C9AB54" w14:textId="77777777" w:rsidR="00E74754" w:rsidRDefault="00E74754" w:rsidP="00E74754">
      <w:pPr>
        <w:jc w:val="both"/>
        <w:rPr>
          <w:sz w:val="20"/>
        </w:rPr>
      </w:pPr>
    </w:p>
    <w:p w14:paraId="27BE9367" w14:textId="77777777" w:rsidR="00E74754" w:rsidRDefault="00E74754" w:rsidP="00E74754">
      <w:pPr>
        <w:jc w:val="both"/>
        <w:rPr>
          <w:sz w:val="20"/>
        </w:rPr>
      </w:pPr>
      <w:proofErr w:type="gramStart"/>
      <w:r>
        <w:rPr>
          <w:sz w:val="20"/>
        </w:rPr>
        <w:t>Municipal  Manager</w:t>
      </w:r>
      <w:proofErr w:type="gramEnd"/>
    </w:p>
    <w:p w14:paraId="5529A0BF" w14:textId="77777777" w:rsidR="00E74754" w:rsidRDefault="00E74754" w:rsidP="00E74754">
      <w:pPr>
        <w:jc w:val="both"/>
        <w:rPr>
          <w:sz w:val="20"/>
        </w:rPr>
      </w:pPr>
      <w:r>
        <w:rPr>
          <w:sz w:val="20"/>
        </w:rPr>
        <w:t>Mzwandile Patrick Nini</w:t>
      </w:r>
    </w:p>
    <w:p w14:paraId="3908A06B" w14:textId="77777777" w:rsidR="00E74754" w:rsidRDefault="00E74754" w:rsidP="00E74754">
      <w:pPr>
        <w:jc w:val="both"/>
        <w:rPr>
          <w:sz w:val="20"/>
        </w:rPr>
      </w:pPr>
    </w:p>
    <w:p w14:paraId="36C5A1BD" w14:textId="1AFF0B54" w:rsidR="00885EDB" w:rsidRDefault="00E74754" w:rsidP="00E74754">
      <w:r>
        <w:rPr>
          <w:sz w:val="20"/>
        </w:rPr>
        <w:t>Blue Crane Route Municipality</w:t>
      </w:r>
    </w:p>
    <w:sectPr w:rsidR="00885E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45B0E" w14:textId="77777777" w:rsidR="002A41B4" w:rsidRDefault="002A41B4" w:rsidP="00EF4C6F">
      <w:r>
        <w:separator/>
      </w:r>
    </w:p>
  </w:endnote>
  <w:endnote w:type="continuationSeparator" w:id="0">
    <w:p w14:paraId="24E4E46F" w14:textId="77777777" w:rsidR="002A41B4" w:rsidRDefault="002A41B4" w:rsidP="00EF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5B0B" w14:textId="77777777" w:rsidR="002A41B4" w:rsidRDefault="002A41B4" w:rsidP="00EF4C6F">
      <w:r>
        <w:separator/>
      </w:r>
    </w:p>
  </w:footnote>
  <w:footnote w:type="continuationSeparator" w:id="0">
    <w:p w14:paraId="0892360E" w14:textId="77777777" w:rsidR="002A41B4" w:rsidRDefault="002A41B4" w:rsidP="00EF4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54"/>
    <w:rsid w:val="000B7BBE"/>
    <w:rsid w:val="000C7B0B"/>
    <w:rsid w:val="002A41B4"/>
    <w:rsid w:val="002A6A3F"/>
    <w:rsid w:val="003873E5"/>
    <w:rsid w:val="005B0E4F"/>
    <w:rsid w:val="008507C0"/>
    <w:rsid w:val="00885EDB"/>
    <w:rsid w:val="00A44C73"/>
    <w:rsid w:val="00C05347"/>
    <w:rsid w:val="00E74754"/>
    <w:rsid w:val="00EF4C6F"/>
    <w:rsid w:val="00FC1C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0967"/>
  <w15:chartTrackingRefBased/>
  <w15:docId w15:val="{103460C1-1E7B-4693-95E7-E3CD6ECC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754"/>
    <w:pPr>
      <w:widowControl w:val="0"/>
      <w:autoSpaceDE w:val="0"/>
      <w:autoSpaceDN w:val="0"/>
      <w:spacing w:after="0" w:line="240" w:lineRule="auto"/>
    </w:pPr>
    <w:rPr>
      <w:rFonts w:ascii="Verdana" w:eastAsia="Verdana" w:hAnsi="Verdana" w:cs="Verdana"/>
      <w:kern w:val="0"/>
      <w:sz w:val="22"/>
      <w:szCs w:val="22"/>
      <w14:ligatures w14:val="none"/>
    </w:rPr>
  </w:style>
  <w:style w:type="paragraph" w:styleId="Heading1">
    <w:name w:val="heading 1"/>
    <w:basedOn w:val="Normal"/>
    <w:next w:val="Normal"/>
    <w:link w:val="Heading1Char"/>
    <w:uiPriority w:val="9"/>
    <w:qFormat/>
    <w:rsid w:val="00E7475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7475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475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475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7475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7475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7475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7475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7475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754"/>
    <w:rPr>
      <w:rFonts w:eastAsiaTheme="majorEastAsia" w:cstheme="majorBidi"/>
      <w:color w:val="272727" w:themeColor="text1" w:themeTint="D8"/>
    </w:rPr>
  </w:style>
  <w:style w:type="paragraph" w:styleId="Title">
    <w:name w:val="Title"/>
    <w:basedOn w:val="Normal"/>
    <w:next w:val="Normal"/>
    <w:link w:val="TitleChar"/>
    <w:uiPriority w:val="10"/>
    <w:qFormat/>
    <w:rsid w:val="00E7475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4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75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4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75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74754"/>
    <w:rPr>
      <w:i/>
      <w:iCs/>
      <w:color w:val="404040" w:themeColor="text1" w:themeTint="BF"/>
    </w:rPr>
  </w:style>
  <w:style w:type="paragraph" w:styleId="ListParagraph">
    <w:name w:val="List Paragraph"/>
    <w:basedOn w:val="Normal"/>
    <w:uiPriority w:val="34"/>
    <w:qFormat/>
    <w:rsid w:val="00E7475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74754"/>
    <w:rPr>
      <w:i/>
      <w:iCs/>
      <w:color w:val="0F4761" w:themeColor="accent1" w:themeShade="BF"/>
    </w:rPr>
  </w:style>
  <w:style w:type="paragraph" w:styleId="IntenseQuote">
    <w:name w:val="Intense Quote"/>
    <w:basedOn w:val="Normal"/>
    <w:next w:val="Normal"/>
    <w:link w:val="IntenseQuoteChar"/>
    <w:uiPriority w:val="30"/>
    <w:qFormat/>
    <w:rsid w:val="00E7475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74754"/>
    <w:rPr>
      <w:i/>
      <w:iCs/>
      <w:color w:val="0F4761" w:themeColor="accent1" w:themeShade="BF"/>
    </w:rPr>
  </w:style>
  <w:style w:type="character" w:styleId="IntenseReference">
    <w:name w:val="Intense Reference"/>
    <w:basedOn w:val="DefaultParagraphFont"/>
    <w:uiPriority w:val="32"/>
    <w:qFormat/>
    <w:rsid w:val="00E74754"/>
    <w:rPr>
      <w:b/>
      <w:bCs/>
      <w:smallCaps/>
      <w:color w:val="0F4761" w:themeColor="accent1" w:themeShade="BF"/>
      <w:spacing w:val="5"/>
    </w:rPr>
  </w:style>
  <w:style w:type="paragraph" w:styleId="BodyText">
    <w:name w:val="Body Text"/>
    <w:basedOn w:val="Normal"/>
    <w:link w:val="BodyTextChar"/>
    <w:qFormat/>
    <w:rsid w:val="00E74754"/>
    <w:rPr>
      <w:sz w:val="20"/>
      <w:szCs w:val="20"/>
    </w:rPr>
  </w:style>
  <w:style w:type="character" w:customStyle="1" w:styleId="BodyTextChar">
    <w:name w:val="Body Text Char"/>
    <w:basedOn w:val="DefaultParagraphFont"/>
    <w:link w:val="BodyText"/>
    <w:rsid w:val="00E74754"/>
    <w:rPr>
      <w:rFonts w:ascii="Verdana" w:eastAsia="Verdana" w:hAnsi="Verdana" w:cs="Verdana"/>
      <w:kern w:val="0"/>
      <w:sz w:val="20"/>
      <w:szCs w:val="20"/>
      <w14:ligatures w14:val="none"/>
    </w:rPr>
  </w:style>
  <w:style w:type="paragraph" w:customStyle="1" w:styleId="TableParagraph">
    <w:name w:val="Table Paragraph"/>
    <w:basedOn w:val="Normal"/>
    <w:uiPriority w:val="1"/>
    <w:qFormat/>
    <w:rsid w:val="00E74754"/>
  </w:style>
  <w:style w:type="character" w:styleId="Hyperlink">
    <w:name w:val="Hyperlink"/>
    <w:basedOn w:val="DefaultParagraphFont"/>
    <w:uiPriority w:val="99"/>
    <w:unhideWhenUsed/>
    <w:rsid w:val="00E74754"/>
    <w:rPr>
      <w:color w:val="467886" w:themeColor="hyperlink"/>
      <w:u w:val="single"/>
    </w:rPr>
  </w:style>
  <w:style w:type="paragraph" w:styleId="NormalWeb">
    <w:name w:val="Normal (Web)"/>
    <w:basedOn w:val="Normal"/>
    <w:rsid w:val="00E74754"/>
    <w:pPr>
      <w:widowControl/>
      <w:autoSpaceDE/>
      <w:autoSpaceDN/>
      <w:spacing w:before="100" w:beforeAutospacing="1" w:after="100" w:afterAutospacing="1"/>
    </w:pPr>
    <w:rPr>
      <w:rFonts w:ascii="Times New Roman" w:eastAsiaTheme="minorEastAsia" w:hAnsi="Times New Roman" w:cs="Times New Roman"/>
      <w:sz w:val="24"/>
      <w:szCs w:val="24"/>
      <w:lang w:val="en-GB"/>
    </w:rPr>
  </w:style>
  <w:style w:type="character" w:styleId="UnresolvedMention">
    <w:name w:val="Unresolved Mention"/>
    <w:basedOn w:val="DefaultParagraphFont"/>
    <w:uiPriority w:val="99"/>
    <w:semiHidden/>
    <w:unhideWhenUsed/>
    <w:rsid w:val="005B0E4F"/>
    <w:rPr>
      <w:color w:val="605E5C"/>
      <w:shd w:val="clear" w:color="auto" w:fill="E1DFDD"/>
    </w:rPr>
  </w:style>
  <w:style w:type="paragraph" w:styleId="Header">
    <w:name w:val="header"/>
    <w:basedOn w:val="Normal"/>
    <w:link w:val="HeaderChar"/>
    <w:uiPriority w:val="99"/>
    <w:unhideWhenUsed/>
    <w:rsid w:val="00EF4C6F"/>
    <w:pPr>
      <w:tabs>
        <w:tab w:val="center" w:pos="4513"/>
        <w:tab w:val="right" w:pos="9026"/>
      </w:tabs>
    </w:pPr>
  </w:style>
  <w:style w:type="character" w:customStyle="1" w:styleId="HeaderChar">
    <w:name w:val="Header Char"/>
    <w:basedOn w:val="DefaultParagraphFont"/>
    <w:link w:val="Header"/>
    <w:uiPriority w:val="99"/>
    <w:rsid w:val="00EF4C6F"/>
    <w:rPr>
      <w:rFonts w:ascii="Verdana" w:eastAsia="Verdana" w:hAnsi="Verdana" w:cs="Verdana"/>
      <w:kern w:val="0"/>
      <w:sz w:val="22"/>
      <w:szCs w:val="22"/>
      <w14:ligatures w14:val="none"/>
    </w:rPr>
  </w:style>
  <w:style w:type="paragraph" w:styleId="Footer">
    <w:name w:val="footer"/>
    <w:basedOn w:val="Normal"/>
    <w:link w:val="FooterChar"/>
    <w:uiPriority w:val="99"/>
    <w:unhideWhenUsed/>
    <w:rsid w:val="00EF4C6F"/>
    <w:pPr>
      <w:tabs>
        <w:tab w:val="center" w:pos="4513"/>
        <w:tab w:val="right" w:pos="9026"/>
      </w:tabs>
    </w:pPr>
  </w:style>
  <w:style w:type="character" w:customStyle="1" w:styleId="FooterChar">
    <w:name w:val="Footer Char"/>
    <w:basedOn w:val="DefaultParagraphFont"/>
    <w:link w:val="Footer"/>
    <w:uiPriority w:val="99"/>
    <w:rsid w:val="00EF4C6F"/>
    <w:rPr>
      <w:rFonts w:ascii="Verdana" w:eastAsia="Verdana" w:hAnsi="Verdana" w:cs="Verdan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ekac@bcrm.gov.za" TargetMode="External"/><Relationship Id="rId3" Type="http://schemas.openxmlformats.org/officeDocument/2006/relationships/webSettings" Target="webSettings.xml"/><Relationship Id="rId7" Type="http://schemas.openxmlformats.org/officeDocument/2006/relationships/hyperlink" Target="mailto:richard@mzansiafrica.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sitandilen@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799</Words>
  <Characters>4411</Characters>
  <Application>Microsoft Office Word</Application>
  <DocSecurity>0</DocSecurity>
  <Lines>142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Musendo</dc:creator>
  <cp:keywords/>
  <dc:description/>
  <cp:lastModifiedBy>Thembakazi  Maphekula</cp:lastModifiedBy>
  <cp:revision>6</cp:revision>
  <cp:lastPrinted>2025-10-27T08:04:00Z</cp:lastPrinted>
  <dcterms:created xsi:type="dcterms:W3CDTF">2025-10-27T08:23:00Z</dcterms:created>
  <dcterms:modified xsi:type="dcterms:W3CDTF">2025-10-31T06:51:00Z</dcterms:modified>
</cp:coreProperties>
</file>